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Ile kosztuje OC w miastach wojewódzkich?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 koniec 2019 r. zmieniła się klasyfikacja dużych miast, które są „tanie” i „drogie” pod względem kosztów obowiązkowego OC. W którym mieście kierowcy mogą liczyć na najtańsze OC?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porównywarki ubezpieczeniowej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co kwartał sprawdzają średni poziom składek OC w osiemnastu miastach wojewódzkich. Te regularne analizy pokazują, w których miastach kierowcy mogą liczyć na tanie OC, a gdzie muszą być gotowi na droższe polisy.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kwartał minionego roku upłynął pod znakiem dość dużych wahań cenowych na rynku ubezpieczeń OC dla kierowców. Taka sytuacja przełożyła się również na wyniki z miast wojewódzkich. Jak zmieniły się one względem III kw. 2019 r.?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ubezpieczenie OC jest najtańsze?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początek warto dowiedzieć się, jak wyglądał średni kwartalny koszt obowiązkowych polis OC z poszczególnych miast wojewódzkich. Wyniki bazujące na tysiącach anonimowych kalkulacji internautów mówią, że przeciętna cena OC wyniosła: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Białystok - średnio 656 zł w „najtańszym” towarzystwie /wzrost o 13% względem III kw. 2019 r.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Bydgoszcz - 657 zł / wzrost o 9%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Gdańsk - 830 zł / wzrost o 15%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Gorzów Wlk. - 664 zł / wzrost o 13%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Katowice - 563 zł /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Kielce - 575 zł / spadek o 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Kraków - 645 zł / wzrost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Lublin - 631 zł /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Łódź - 788 zł / wzrost o 16%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Olsztyn - 628 zł / wzrost o 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Opole - 490 zł </w:t>
      </w:r>
      <w:r>
        <w:rPr>
          <w:rFonts w:ascii="calibri" w:hAnsi="calibri" w:eastAsia="calibri" w:cs="calibri"/>
          <w:sz w:val="24"/>
          <w:szCs w:val="24"/>
        </w:rPr>
        <w:t xml:space="preserve">/ </w:t>
      </w:r>
      <w:r>
        <w:rPr>
          <w:rFonts w:ascii="calibri" w:hAnsi="calibri" w:eastAsia="calibri" w:cs="calibri"/>
          <w:sz w:val="24"/>
          <w:szCs w:val="24"/>
          <w:b/>
        </w:rPr>
        <w:t xml:space="preserve">spadek o 8%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Poznań - 770 zł / </w:t>
      </w:r>
      <w:r>
        <w:rPr>
          <w:rFonts w:ascii="calibri" w:hAnsi="calibri" w:eastAsia="calibri" w:cs="calibri"/>
          <w:sz w:val="24"/>
          <w:szCs w:val="24"/>
          <w:b/>
        </w:rPr>
        <w:t xml:space="preserve">wzrost o 26%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Rzeszów - 542 zł / spadek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Szczecin - 723 zł / spadek o 1%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Toruń - 660 zł / wzrost o 13%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Warszawa - 800 zł / wzrost o 5%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Wrocław - 885 zł </w:t>
      </w:r>
      <w:r>
        <w:rPr>
          <w:rFonts w:ascii="calibri" w:hAnsi="calibri" w:eastAsia="calibri" w:cs="calibri"/>
          <w:sz w:val="24"/>
          <w:szCs w:val="24"/>
        </w:rPr>
        <w:t xml:space="preserve">/ wzrost o 24%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Zielona Góra - 645 zł / brak zmiany kwartalnej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dane wyraźnie pokazują, że w ujęciu kwartalnym dominowały wzrosty średniej składki OC. Przeciętna składka ubezpieczenia OC znacząco spadła jedynie w Katowicach, Lublinie, Rzeszowie i Opolu. To właśnie w tym ostatnim mieście kierowcy mogli cieszyć się najtańszym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5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Duże podwyżki OC we Wrocławiu i Poznaniu mogą niepokoić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zwrócić także uwagę na duże podwyżki ubezpieczenia OC w miastach znanych z wysokich cen obowiązkowej polisy. Mowa o Poznaniu (+26%) oraz Wrocławiu (+24%).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skutek dużego wzrostu średniej składki OC stolica Dolnego Śląska przejęła od Warszawy tytuł miasta „najdroższego” dla kierowców.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świetle wcześniejszych danych można stwierdzić, że sytuacja wróciła do normy. Wrocław znacznie częściej niż Warszawa lokuje się bowiem na pierwszym miejscu pod względem wysokiego kosztu OC</w:t>
      </w:r>
      <w:r>
        <w:rPr>
          <w:rFonts w:ascii="calibri" w:hAnsi="calibri" w:eastAsia="calibri" w:cs="calibri"/>
          <w:sz w:val="24"/>
          <w:szCs w:val="24"/>
        </w:rPr>
        <w:t xml:space="preserve">” - komentuje Andrzej Prajsnar, ekspert porównywarki ubezpieczeniowej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0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przyczyny podwyżek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Wysokie kwartalne wzrosty średnich składek OC są w dużej mierze skutkiem podwyżek notowanych w październiku minionego roku. Później można już było zauważyć spadki.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Statystyki wyglądałyby bardziej optymistycznie dla kierowców, gdyby uwzględnić tylko składki z grudnia 2019 roku. To daje nadzieję, że na początku 2020 r. ceny OC nie będą bardzo wysokie" </w:t>
      </w:r>
      <w:r>
        <w:rPr>
          <w:rFonts w:ascii="calibri" w:hAnsi="calibri" w:eastAsia="calibri" w:cs="calibri"/>
          <w:sz w:val="24"/>
          <w:szCs w:val="24"/>
        </w:rPr>
        <w:t xml:space="preserve">- podsumowuje Paweł Kuczyński, prezes porównywarki ubezpieczeniowej Ubea.pl.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2024-04-23T20:19:26+02:00</dcterms:created>
  <dcterms:modified xsi:type="dcterms:W3CDTF">2024-04-23T20:19:26+02:00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