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drogowych stłuczek coraz bardziej niepokoi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dokładne dane o liczbie wypadków drogowych oraz stłuczek w czwartym kwartale i całym 2021 r. Jeden aspekt na pewno jest dość niepokojący.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 już przy okazji komentowania danych o bezpieczeństwie drogowym w III kw. 2021 r. zwracali uwagę na pogorszenie się tych wyników. Nowe dane GUS na temat liczby wypadków, stłuczek, zabitych i rannych potwierdzają, że pewne aspekty są niepokojące. Chodzi przede wszystkim o liczbę kolizji drogowych z IV kw. 2021 roku. Na całe szczęście, analiza wyników z całego minionego roku prowadzi też do bardziej pozytywnych wniosków. Warto je poznać.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Roczna liczba stłuczek w Polsce wzrosła o 11%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w przejrzysty sposób pokazuje, jak zmieniła się liczba wypadków, rannych i zabitych na drodze oraz stłuczek (kolizji) w ujęciu rocznym i kwartalnym. Warto przypomnieć, że kolizja jest zgodnie z klasyfikacją GUS-u zdarzeniem drogowym, które skutkowało wyłącznie szkodami materialnymi. Natomiast wypadek to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zdarzenie mające związek z ruchem pojazdów na drogach publicznych, w wyniku którego nastąpiła śmierć lub uszkodzenie ciała osób</w:t>
      </w:r>
      <w:r>
        <w:rPr>
          <w:rFonts w:ascii="calibri" w:hAnsi="calibri" w:eastAsia="calibri" w:cs="calibri"/>
          <w:sz w:val="24"/>
          <w:szCs w:val="24"/>
        </w:rPr>
        <w:t xml:space="preserve">”. Po szybkim sprawdzeniu danych Głównego Urzędu Statystycznego widzimy, że kwestia stłuczek zasługuje na szczególną uwagę.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relacji do 2020 roku, liczba takich kolizji wzrosła bowiem o 11% (do 422 627)</w:t>
      </w:r>
      <w:r>
        <w:rPr>
          <w:rFonts w:ascii="calibri" w:hAnsi="calibri" w:eastAsia="calibri" w:cs="calibri"/>
          <w:sz w:val="24"/>
          <w:szCs w:val="24"/>
        </w:rPr>
        <w:t xml:space="preserve">” - podaje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zmiana procentowa niepokoi nawet jeśli weźmiemy pod uwagę fakt, że mieliśmy do czynienia z tak zwanym efektem bazy (wynikającym z mniejszej liczby kolizji w 2020 r.). Jak widać, ograniczenia mobilności z 2021 r. miały już mniejszy wpływ na liczbę stłuczek. Ubiegłoroczny wynik był bardziej zbliżony do wartości odnotowanej chociażby w przedpandemicznym 2019 roku (ok. 455 500 kolizji drogowych).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Niepokoić może wysoka liczba stłuczek odnotowana w ostatnim kwartale minionego roku (aż 116 023). Oznaczała ona bowiem roczny wzrost o 16%</w:t>
      </w:r>
      <w:r>
        <w:rPr>
          <w:rFonts w:ascii="calibri" w:hAnsi="calibri" w:eastAsia="calibri" w:cs="calibri"/>
          <w:sz w:val="24"/>
          <w:szCs w:val="24"/>
        </w:rPr>
        <w:t xml:space="preserve">” - zwraca uwagę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Dane dotyczące wypadków wyglądają lepiej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GUS na temat bezpieczeństwa drogowego mają również swój bardziej pozytywny aspekt. Chodzi o to, że bezpieczeństwo na drogach w 2021 r. po wyłączeniu stłuczek nie prezentowało się szczególnie źle. Ubiegłoroczna liczba wypadków spadła o 3% (do 22 816). Ujemna zmiana względem 2020 r. dotyczyła również liczby zabitych na drodze (spadek o 10% do 2245). Większej zmianie nie uległa natomiast roczna liczba rannych (spadek z 26 463 do 26 415).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ramach porównania, warto wspomnieć, że przez cały 2019 r. na polskich drogach miało miejsce 30 288 wypadków, 35 477 osób odniosło rany, a 2909 osób niestety poniosło śmierć</w:t>
      </w:r>
      <w:r>
        <w:rPr>
          <w:rFonts w:ascii="calibri" w:hAnsi="calibri" w:eastAsia="calibri" w:cs="calibri"/>
          <w:sz w:val="24"/>
          <w:szCs w:val="24"/>
        </w:rPr>
        <w:t xml:space="preserve">” - wylicza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Stłuczki wywierają duży wpływ na ceny polis 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Stosunkowo wysoka liczba stłuczek w 2021 r. (mimo pandemii COVID-19) na pewno może niepokoić w kontekście inflacyjnej oraz kosztowej presji na ubezpieczycieli. Rodzi się pytanie, jak będzie wyglądało bezpieczeństwo drogowe po całkowitym i trwałym zniesieniu pandemicznych ograniczeń. Pozytywny wpływ na wypadkowość może wynikać ze zmiany taryfikatora mandatów i powiązania składek OC z liczbą punktów karnych.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jednocześnie pamiętać, że polskie drogi są coraz bardziej zatłoczone, a I kw. 2022 r. przyniósł duży napływ kierowców z Ukrainy</w:t>
      </w:r>
      <w:r>
        <w:rPr>
          <w:rFonts w:ascii="calibri" w:hAnsi="calibri" w:eastAsia="calibri" w:cs="calibri"/>
          <w:sz w:val="24"/>
          <w:szCs w:val="24"/>
        </w:rPr>
        <w:t xml:space="preserve">” - zaznacza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statystyki wypadkowości po pandemii wrócą do poziomu notowanego chociażby w 2019 roku, to ubezpieczyciele będą zmuszeni podnieść składki OC w sposób odczuwalny dla kierowców.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 takim ruchem cenowym będzie dodatkowo przemawiała inflacja i konieczność wypełnienia nowych rekomendacji KNF-u w sprawie likwidacji szkód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porównywarka ubezpieczeń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i/>
            <w:iCs/>
            <w:u w:val="single"/>
          </w:rPr>
          <w:t xml:space="preserve">Ubea.pl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ube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2024-05-11T09:54:38+02:00</dcterms:created>
  <dcterms:modified xsi:type="dcterms:W3CDTF">2024-05-11T09:54:38+02:00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