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a ubezpieczyciele - jak sytuację ocenia NBP?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Bank Polski ocenił niedawno sytuację ubezpieczycieli w kontekście kryzysu gospodarczego wywołanego koronawirusem. Omawiamy najważniejsze wnioski z raportu ekspertów NBP.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sektor finansowy z całą pewnością mocno odczuje skutki kryzysu gospodarczego wywołanego przez koronawirusa. Media najczęściej zajmują się sytuacją banków, ale nie powinno się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krajowych zakładach ubezpieczeń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</w:t>
      </w:r>
      <w:r>
        <w:rPr>
          <w:rFonts w:ascii="calibri" w:hAnsi="calibri" w:eastAsia="calibri" w:cs="calibri"/>
          <w:sz w:val="24"/>
          <w:szCs w:val="24"/>
        </w:rPr>
        <w:t xml:space="preserve"> w ramach swojego niedawnego raportu przyjrzał się kondycji krajowych ubezpieczycieli oraz ich odporności na skutki trwającego kryzysu.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uzupełnili spostrzeżenia NBP o własne wnioski.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obawia się NBP?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eksperci NBP wskazują m.in. na </w:t>
      </w:r>
      <w:r>
        <w:rPr>
          <w:rFonts w:ascii="calibri" w:hAnsi="calibri" w:eastAsia="calibri" w:cs="calibri"/>
          <w:sz w:val="24"/>
          <w:szCs w:val="24"/>
          <w:b/>
        </w:rPr>
        <w:t xml:space="preserve">ryzyko "double-hit"</w:t>
      </w:r>
      <w:r>
        <w:rPr>
          <w:rFonts w:ascii="calibri" w:hAnsi="calibri" w:eastAsia="calibri" w:cs="calibri"/>
          <w:sz w:val="24"/>
          <w:szCs w:val="24"/>
        </w:rPr>
        <w:t xml:space="preserve">. Chodzi o to, że w zakładach ubezpieczeń najbardziej narażonych na skutki kryzysu może zmniejszyć się wartość aktywów. Jednocześnie konieczne będzie zwiększenie wartości rezerw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Narodowego Banku Polskiego słabym punktem rodzimego sektora ubezpieczeń (zwłaszcza "życiowych”)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 udział oczekiwanych zysków z przyszłych składek w środkach własnych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NBP zwraca również uwagę na inną kwestię: </w:t>
      </w:r>
      <w:r>
        <w:rPr>
          <w:rFonts w:ascii="calibri" w:hAnsi="calibri" w:eastAsia="calibri" w:cs="calibri"/>
          <w:sz w:val="24"/>
          <w:szCs w:val="24"/>
          <w:b/>
        </w:rPr>
        <w:t xml:space="preserve">środki własne ubezpieczycieli, którzy nabyli udziały w innej instytucji finansowej</w:t>
      </w:r>
      <w:r>
        <w:rPr>
          <w:rFonts w:ascii="calibri" w:hAnsi="calibri" w:eastAsia="calibri" w:cs="calibri"/>
          <w:sz w:val="24"/>
          <w:szCs w:val="24"/>
        </w:rPr>
        <w:t xml:space="preserve"> (np. banku, TFI, PTE) </w:t>
      </w:r>
      <w:r>
        <w:rPr>
          <w:rFonts w:ascii="calibri" w:hAnsi="calibri" w:eastAsia="calibri" w:cs="calibri"/>
          <w:sz w:val="24"/>
          <w:szCs w:val="24"/>
          <w:b/>
        </w:rPr>
        <w:t xml:space="preserve">nie są pomniejszane o kapitały zależnych spółek</w:t>
      </w:r>
      <w:r>
        <w:rPr>
          <w:rFonts w:ascii="calibri" w:hAnsi="calibri" w:eastAsia="calibri" w:cs="calibri"/>
          <w:sz w:val="24"/>
          <w:szCs w:val="24"/>
        </w:rPr>
        <w:t xml:space="preserve">. Warto pamiętać, że zakłady ubezpieczeniowe, w przeciwieństwie na przykład do banków, mogą podwójnie wykazywać kapitały zależnych od siebie podmiotów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oznacza, że materializacja ryzyka finansowego w zależnej instytucji (przykładowo banku lub TFI) będzie skutkowała automatycznym spadkiem środków własnych ubezpieczyciela i swoistym „zarażaniem” występującym pomiędzy instytucjami lub sektorami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Rynek OC w czasach koronawirusa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mimo koronawirusa można znaleźć jakieś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aspekty</w:t>
      </w:r>
      <w:r>
        <w:rPr>
          <w:rFonts w:ascii="calibri" w:hAnsi="calibri" w:eastAsia="calibri" w:cs="calibri"/>
          <w:sz w:val="24"/>
          <w:szCs w:val="24"/>
        </w:rPr>
        <w:t xml:space="preserve"> w sytuacji ubezpieczycieli? Eksperci Ubea.pl przekonują,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warunki gospodarcze prezentują się nieco lepiej niż w czasie opracowywania raportu NBP </w:t>
      </w:r>
      <w:r>
        <w:rPr>
          <w:rFonts w:ascii="calibri" w:hAnsi="calibri" w:eastAsia="calibri" w:cs="calibri"/>
          <w:sz w:val="24"/>
          <w:szCs w:val="24"/>
        </w:rPr>
        <w:t xml:space="preserve">(czerwiec - lipiec 2020 r.). W tamtym czasie wiele osób przewidywało, że spadek PKB w 2020 r. wyniesie ok. 5-6%.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coraz częściej mówi się o tym, że polska gospodarka w ujęciu rocznym skurczy się o 3,0% albo jeszcze mniej" - </w:t>
      </w:r>
      <w:r>
        <w:rPr>
          <w:rFonts w:ascii="calibri" w:hAnsi="calibri" w:eastAsia="calibri" w:cs="calibri"/>
          <w:sz w:val="24"/>
          <w:szCs w:val="24"/>
        </w:rPr>
        <w:t xml:space="preserve">komentuje Paweł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bardzo ważny rynek ubezpieczeń komunikacyjnych jest obecnie zrównoważony cenowo</w:t>
      </w:r>
      <w:r>
        <w:rPr>
          <w:rFonts w:ascii="calibri" w:hAnsi="calibri" w:eastAsia="calibri" w:cs="calibri"/>
          <w:sz w:val="24"/>
          <w:szCs w:val="24"/>
        </w:rPr>
        <w:t xml:space="preserve">. W 2019 r. krajowi ubezpieczyciele odnotowali nawet rekordowy zysk techniczny dotyczący obowiązkowych polis OC dla kierowców (+0,90 mld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pokazuje, że naciski nadzoru finansowego związane z koniecznością zrównoważenia rynku obowiązkowych ubezpieczeń OC były słuszne. Gdyby obowiązkowe OC nadal generowało spore straty (a warto przypomnieć, że jeszcze w 2015 i 2016 r. ubezpieczyciele tracili na OC aż 1,1 mld zł rocznie), to aktualna kondycja finansowa ubezpieczycieli byłaby znacznie gorsza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2026-02-12T01:20:41+01:00</dcterms:created>
  <dcterms:modified xsi:type="dcterms:W3CDTF">2026-02-12T01:20:41+01:00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