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Które polisy straciły w czasie pandemii?</w:t>
      </w:r>
    </w:p>
    <w:p>
      <w:pPr>
        <w:spacing w:before="0" w:after="500" w:line="264" w:lineRule="auto"/>
      </w:pPr>
      <w:r>
        <w:rPr>
          <w:rFonts w:ascii="calibri" w:hAnsi="calibri" w:eastAsia="calibri" w:cs="calibri"/>
          <w:sz w:val="36"/>
          <w:szCs w:val="36"/>
          <w:b/>
        </w:rPr>
        <w:t xml:space="preserve">Pandemia koronawirusa mocno wpłynęła na rynek ubezpieczeniowy. Warto sprawdzić, jak kryzys sanitarny i gospodarczy zmienił poziom zebranej składki różnych grup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na początku pandemii koronawirusa, różni eksperci próbowali prognozować, jak aktualna sytuacja wpłynie na popularność poszczególnych grup ubezpieczeń. Często wskazywano między innymi, że spadnie łączna zebrana składka polis turystycznych. Dzięki danym Komisji Nadzoru Finansowego, eksperci porównywarki ubezpieczeniowej Ubea.pl sprawdzili, czy wcześniejsze prognozy pokrywają się z rzeczywistością. Po wykonaniu obliczeń można dostrzec kilka zaskakujących faktów. </w:t>
      </w:r>
    </w:p>
    <w:p>
      <w:pPr>
        <w:spacing w:before="0" w:after="300"/>
      </w:pPr>
      <w:r>
        <w:rPr>
          <w:rFonts w:ascii="calibri" w:hAnsi="calibri" w:eastAsia="calibri" w:cs="calibri"/>
          <w:sz w:val="24"/>
          <w:szCs w:val="24"/>
          <w:b/>
        </w:rPr>
        <w:t xml:space="preserve">Wyniki dotyczące polis turystycznych to zaskoczenie</w:t>
      </w:r>
    </w:p>
    <w:p>
      <w:pPr>
        <w:spacing w:before="0" w:after="300"/>
      </w:pPr>
      <w:r>
        <w:rPr>
          <w:rFonts w:ascii="calibri" w:hAnsi="calibri" w:eastAsia="calibri" w:cs="calibri"/>
          <w:sz w:val="24"/>
          <w:szCs w:val="24"/>
        </w:rPr>
        <w:t xml:space="preserve">Analitycy porównywarki ubezpieczeniowej Ubea.pl postanowili najpierw sprawdzić, jak składka przypisana brutto różnych polis z działu II zmieniła się w perspektywie rocznej. Mowa o porównaniu obejmującym okres I kw. - III kw. 2019 r. oraz I kw. - III kw. 2020 r. Takie porównanie wskazuje, że względem pierwszych dziewięciu miesięcy 2019 r. składka przypisana brutto różnych ubezpieczeń zmieniła się następująco: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wypadku, w tym wypadku przy pracy i choroby zawodowej - wzrost o 4%</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choroby - spadek o 25%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casco pojazdów lądowych (z wyjątkiem pojazdów szynowych) - bez zmian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casco pojazdów szynowych - wzrost o 58%</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casco statków powietrznych - wzrost o 17%</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Ubezpieczenia żeglugi morskiej i śródlądowej, casco statków żeglugi morskiej i statków żeglugi śródlądowej - wzrost o 3%</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Ubezpieczenia przedmiotów w transporcie - bez zmian</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Ubezpieczenia szkód, obejmujące szkody rzeczowe nieujęte w grupach 3 - 7 i spowodowane przez żywioły - wzrost o 10%</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Ubezpieczenia pozostałych szkód rzeczowych - wzrost o 4%</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Ubezpieczenia odpowiedzialności cywilnej wszelkiego rodzaju, wynikającej z posiadania i użytkowania pojazdów lądowych - spadek o 3%</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Ubezpieczenia odpowiedzialności cywilnej wszelkiego rodzaju, wynikającej z posiadania i użytkowania statków powietrznych - spadek o 30%</w:t>
      </w:r>
    </w:p>
    <w:p>
      <w:pPr>
        <w:spacing w:before="0" w:after="0"/>
      </w:pPr>
      <w:r>
        <w:rPr>
          <w:rFonts w:ascii="calibri" w:hAnsi="calibri" w:eastAsia="calibri" w:cs="calibri"/>
          <w:sz w:val="24"/>
          <w:szCs w:val="24"/>
        </w:rPr>
        <w:t xml:space="preserve">12. </w:t>
      </w:r>
      <w:r>
        <w:rPr>
          <w:rFonts w:ascii="calibri" w:hAnsi="calibri" w:eastAsia="calibri" w:cs="calibri"/>
          <w:sz w:val="24"/>
          <w:szCs w:val="24"/>
        </w:rPr>
        <w:t xml:space="preserve">Ubezpieczenia odpowiedzialności cywilnej za żeglugę morską i śródlądową - wzrost o 1%</w:t>
      </w:r>
    </w:p>
    <w:p>
      <w:pPr>
        <w:spacing w:before="0" w:after="0"/>
      </w:pPr>
      <w:r>
        <w:rPr>
          <w:rFonts w:ascii="calibri" w:hAnsi="calibri" w:eastAsia="calibri" w:cs="calibri"/>
          <w:sz w:val="24"/>
          <w:szCs w:val="24"/>
        </w:rPr>
        <w:t xml:space="preserve">13. </w:t>
      </w:r>
      <w:r>
        <w:rPr>
          <w:rFonts w:ascii="calibri" w:hAnsi="calibri" w:eastAsia="calibri" w:cs="calibri"/>
          <w:sz w:val="24"/>
          <w:szCs w:val="24"/>
        </w:rPr>
        <w:t xml:space="preserve">Pozostałe ubezpieczenia odpowiedzialności cywilnej - wzrost o 6%</w:t>
      </w:r>
    </w:p>
    <w:p>
      <w:pPr>
        <w:spacing w:before="0" w:after="0"/>
      </w:pPr>
      <w:r>
        <w:rPr>
          <w:rFonts w:ascii="calibri" w:hAnsi="calibri" w:eastAsia="calibri" w:cs="calibri"/>
          <w:sz w:val="24"/>
          <w:szCs w:val="24"/>
        </w:rPr>
        <w:t xml:space="preserve">14. </w:t>
      </w:r>
      <w:r>
        <w:rPr>
          <w:rFonts w:ascii="calibri" w:hAnsi="calibri" w:eastAsia="calibri" w:cs="calibri"/>
          <w:sz w:val="24"/>
          <w:szCs w:val="24"/>
        </w:rPr>
        <w:t xml:space="preserve">Ubezpieczenia kredytu - wzrost o 6%</w:t>
      </w:r>
    </w:p>
    <w:p>
      <w:pPr>
        <w:spacing w:before="0" w:after="0"/>
      </w:pPr>
      <w:r>
        <w:rPr>
          <w:rFonts w:ascii="calibri" w:hAnsi="calibri" w:eastAsia="calibri" w:cs="calibri"/>
          <w:sz w:val="24"/>
          <w:szCs w:val="24"/>
        </w:rPr>
        <w:t xml:space="preserve">15. </w:t>
      </w:r>
      <w:r>
        <w:rPr>
          <w:rFonts w:ascii="calibri" w:hAnsi="calibri" w:eastAsia="calibri" w:cs="calibri"/>
          <w:sz w:val="24"/>
          <w:szCs w:val="24"/>
        </w:rPr>
        <w:t xml:space="preserve">Gwarancje ubezpieczeniowe - spadek o 3%</w:t>
      </w:r>
    </w:p>
    <w:p>
      <w:pPr>
        <w:spacing w:before="0" w:after="0"/>
      </w:pPr>
      <w:r>
        <w:rPr>
          <w:rFonts w:ascii="calibri" w:hAnsi="calibri" w:eastAsia="calibri" w:cs="calibri"/>
          <w:sz w:val="24"/>
          <w:szCs w:val="24"/>
        </w:rPr>
        <w:t xml:space="preserve">16. </w:t>
      </w:r>
      <w:r>
        <w:rPr>
          <w:rFonts w:ascii="calibri" w:hAnsi="calibri" w:eastAsia="calibri" w:cs="calibri"/>
          <w:sz w:val="24"/>
          <w:szCs w:val="24"/>
        </w:rPr>
        <w:t xml:space="preserve">Ubezpieczenia ryzyk finansowych - spadek o 21%</w:t>
      </w:r>
    </w:p>
    <w:p>
      <w:pPr>
        <w:spacing w:before="0" w:after="0"/>
      </w:pPr>
      <w:r>
        <w:rPr>
          <w:rFonts w:ascii="calibri" w:hAnsi="calibri" w:eastAsia="calibri" w:cs="calibri"/>
          <w:sz w:val="24"/>
          <w:szCs w:val="24"/>
        </w:rPr>
        <w:t xml:space="preserve">17. </w:t>
      </w:r>
      <w:r>
        <w:rPr>
          <w:rFonts w:ascii="calibri" w:hAnsi="calibri" w:eastAsia="calibri" w:cs="calibri"/>
          <w:sz w:val="24"/>
          <w:szCs w:val="24"/>
        </w:rPr>
        <w:t xml:space="preserve">Ubezpieczenia ochrony prawnej - wzrost o 5%</w:t>
      </w:r>
    </w:p>
    <w:p>
      <w:pPr>
        <w:spacing w:before="0" w:after="0"/>
      </w:pPr>
      <w:r>
        <w:rPr>
          <w:rFonts w:ascii="calibri" w:hAnsi="calibri" w:eastAsia="calibri" w:cs="calibri"/>
          <w:sz w:val="24"/>
          <w:szCs w:val="24"/>
        </w:rPr>
        <w:t xml:space="preserve">18. </w:t>
      </w:r>
      <w:r>
        <w:rPr>
          <w:rFonts w:ascii="calibri" w:hAnsi="calibri" w:eastAsia="calibri" w:cs="calibri"/>
          <w:sz w:val="24"/>
          <w:szCs w:val="24"/>
        </w:rPr>
        <w:t xml:space="preserve">Ubezpieczenia świadczenia pomocy na korzyść osób, które popadły w trudności w czasie podróży lub podczas nieobecności w miejscu zamieszkania - wzrost o 5%</w:t>
      </w:r>
    </w:p>
    <w:p/>
    <w:p>
      <w:pPr>
        <w:spacing w:before="0" w:after="300"/>
      </w:pPr>
      <w:r>
        <w:rPr>
          <w:rFonts w:ascii="calibri" w:hAnsi="calibri" w:eastAsia="calibri" w:cs="calibri"/>
          <w:sz w:val="24"/>
          <w:szCs w:val="24"/>
        </w:rPr>
        <w:t xml:space="preserve">Bardzo duży spadek dotyczący składek lotniczego OC można wytłumaczyć zapaścią, która dotknęła przewoźników lotniczych. Skala ujemnych zmian w grupie ubezpieczeń ryzyk finansowych stanowi natomiast swoisty paradoks w okresie podwyższonej niepewności gospodarczej. „</w:t>
      </w:r>
      <w:r>
        <w:rPr>
          <w:rFonts w:ascii="calibri" w:hAnsi="calibri" w:eastAsia="calibri" w:cs="calibri"/>
          <w:sz w:val="24"/>
          <w:szCs w:val="24"/>
          <w:i/>
          <w:iCs/>
        </w:rPr>
        <w:t xml:space="preserve">Duże znaczenie mogły mieć jednak cięcia finansowe w wielu firmach i mniejsze wartości nowych kontraktów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Zaskakująca wydaje się także dodatnia zmiana w grupie 18 działu II. Prawdopodobnie wynika ona z faktu, że osłabienie pandemii koronawirusa pozytywnie wpłynęło na ruch turystyczny w III kw. 2020 r. Powyżej można również zauważyć spadek przypisu składki samodzielnych polis chorobowych aż o 25%. „</w:t>
      </w:r>
      <w:r>
        <w:rPr>
          <w:rFonts w:ascii="calibri" w:hAnsi="calibri" w:eastAsia="calibri" w:cs="calibri"/>
          <w:sz w:val="24"/>
          <w:szCs w:val="24"/>
          <w:i/>
          <w:iCs/>
        </w:rPr>
        <w:t xml:space="preserve">Wyjaśnieniem może być fakt, że osoby prywatne i firmy kupujące takie polisy jako samodzielny produkt szukają teraz oszczędności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Dane na temat ubezpieczeń inwestycyjnych są kiepskie</w:t>
      </w:r>
    </w:p>
    <w:p>
      <w:pPr>
        <w:spacing w:before="0" w:after="300"/>
      </w:pPr>
      <w:r>
        <w:rPr>
          <w:rFonts w:ascii="calibri" w:hAnsi="calibri" w:eastAsia="calibri" w:cs="calibri"/>
          <w:sz w:val="24"/>
          <w:szCs w:val="24"/>
        </w:rPr>
        <w:t xml:space="preserve">Ciekawa wydaje się też podobna analiza dotycząca polis z działu I. Porównanie wyników dla I kw. - III kw. 2019 r. oraz I kw. - III kw. 2020 r. wskazuje, że zmiany składki przypisanej brutto były następujące:</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Ubezpieczenia na życie - wzrost o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Ubezpieczenia posagowe (zaopatrzenia dzieci) - bez zmian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Ubezpieczenia na życie związane z ubezpieczeniowym funduszem kapitałowym i ubezpieczenia na życie, w których świadczenie zakładu ubezpieczeń jest ustalane w oparciu o określone indeksy lub inne wartości bazowe - spadek o 16%</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Ubezpieczenia rentowe - wzrost o 9%</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Ubezpieczenia wypadkowe i chorobowe będące uzupełnieniem ubezpieczeń wymienionych w grupach 1 - 4 - wzrost o 5%</w:t>
      </w:r>
    </w:p>
    <w:p/>
    <w:p>
      <w:pPr>
        <w:spacing w:before="0" w:after="300"/>
      </w:pPr>
      <w:r>
        <w:rPr>
          <w:rFonts w:ascii="calibri" w:hAnsi="calibri" w:eastAsia="calibri" w:cs="calibri"/>
          <w:sz w:val="24"/>
          <w:szCs w:val="24"/>
        </w:rPr>
        <w:t xml:space="preserve">Spory spadek dotyczący polis inwestycyjnych prawdopodobnie wynikał z pogorszenia sytuacji finansowej gospodarstw domowych. „</w:t>
      </w:r>
      <w:r>
        <w:rPr>
          <w:rFonts w:ascii="calibri" w:hAnsi="calibri" w:eastAsia="calibri" w:cs="calibri"/>
          <w:sz w:val="24"/>
          <w:szCs w:val="24"/>
          <w:i/>
          <w:iCs/>
        </w:rPr>
        <w:t xml:space="preserve">Wspomnianym ubezpieczeniom nie pomogło nawet rekordowo niskie oprocentowanie depozytów bankowych po decyzjach RPP z wiosny minionego roku</w:t>
      </w:r>
      <w:r>
        <w:rPr>
          <w:rFonts w:ascii="calibri" w:hAnsi="calibri" w:eastAsia="calibri" w:cs="calibri"/>
          <w:sz w:val="24"/>
          <w:szCs w:val="24"/>
        </w:rPr>
        <w:t xml:space="preserve">” - zwraca uwagę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2026-04-04T01:40:59+02:00</dcterms:created>
  <dcterms:modified xsi:type="dcterms:W3CDTF">2026-04-04T01:40:59+02:00</dcterms:modified>
</cp:coreProperties>
</file>

<file path=docProps/custom.xml><?xml version="1.0" encoding="utf-8"?>
<Properties xmlns="http://schemas.openxmlformats.org/officeDocument/2006/custom-properties" xmlns:vt="http://schemas.openxmlformats.org/officeDocument/2006/docPropsVTypes"/>
</file>