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lutym 2021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 2021 r. barometr OC Ubea.pl odpowiada na kilka ważnych pytań dotyczących rynku obowiązkowych polis dla kierowców. Czy po obniżkach pod koniec zeszłego roku ubezpieczyciele zdecydowali się na dalsze zmniejszanie składek?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latach nowy cykl barometrów cenowych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rozpoczął się od </w:t>
      </w:r>
      <w:r>
        <w:rPr>
          <w:rFonts w:ascii="calibri" w:hAnsi="calibri" w:eastAsia="calibri" w:cs="calibri"/>
          <w:sz w:val="24"/>
          <w:szCs w:val="24"/>
          <w:b/>
        </w:rPr>
        <w:t xml:space="preserve">analizy dotyczącej lutego</w:t>
      </w:r>
      <w:r>
        <w:rPr>
          <w:rFonts w:ascii="calibri" w:hAnsi="calibri" w:eastAsia="calibri" w:cs="calibri"/>
          <w:sz w:val="24"/>
          <w:szCs w:val="24"/>
        </w:rPr>
        <w:t xml:space="preserve">. Nie ma potrzeby wykonywania barometru dla stycznia, ponieważ wynik z tego miesiąca zawsze wynosi 100 i służy jako późniejszy punkt odniesienia.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informacjom, które analitycy Ubea.pl zebrali w lutym 2021 roku,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czy nowy odczyt barometru ma poziom mniejszy od 100</w:t>
      </w:r>
      <w:r>
        <w:rPr>
          <w:rFonts w:ascii="calibri" w:hAnsi="calibri" w:eastAsia="calibri" w:cs="calibri"/>
          <w:sz w:val="24"/>
          <w:szCs w:val="24"/>
        </w:rPr>
        <w:t xml:space="preserve">. Taki wynik oznaczałby spadek przeciętnego kosztu OC dla kierowców względem stycznia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w lutym 2021 r. = 98↓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100⇔)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Ubea.pl co miesiąc zbiera </w:t>
      </w:r>
      <w:r>
        <w:rPr>
          <w:rFonts w:ascii="calibri" w:hAnsi="calibri" w:eastAsia="calibri" w:cs="calibri"/>
          <w:sz w:val="24"/>
          <w:szCs w:val="24"/>
          <w:b/>
        </w:rPr>
        <w:t xml:space="preserve">anonimowe informacje do barometru</w:t>
      </w:r>
      <w:r>
        <w:rPr>
          <w:rFonts w:ascii="calibri" w:hAnsi="calibri" w:eastAsia="calibri" w:cs="calibri"/>
          <w:sz w:val="24"/>
          <w:szCs w:val="24"/>
        </w:rPr>
        <w:t xml:space="preserve">, wykorzystując wyliczenia składki dokonywane przez ponad 100 000 internautów. Średni poziom składki OC ze stycznia służy przez cały rok jako punkt odniesienia dla wyników z kolejnych miesięcy (styczniowy poziom barometru = 100).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spadły w lutym 2021 r.?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wyników z lutego 2021 okazało się, że w tym krótkim miesiącu przeciętna </w:t>
      </w:r>
      <w:r>
        <w:rPr>
          <w:rFonts w:ascii="calibri" w:hAnsi="calibri" w:eastAsia="calibri" w:cs="calibri"/>
          <w:sz w:val="24"/>
          <w:szCs w:val="24"/>
          <w:b/>
        </w:rPr>
        <w:t xml:space="preserve">składka OC spadła o 2%</w:t>
      </w:r>
      <w:r>
        <w:rPr>
          <w:rFonts w:ascii="calibri" w:hAnsi="calibri" w:eastAsia="calibri" w:cs="calibri"/>
          <w:sz w:val="24"/>
          <w:szCs w:val="24"/>
        </w:rPr>
        <w:t xml:space="preserve"> względem stycznia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cen jest nieco mniejszy, jeśli odniesie się go do wyniku z grudnia 2020 r. Z tej perspektywy średni koszt obowiązkowej polisy spadł o </w:t>
      </w:r>
      <w:r>
        <w:rPr>
          <w:rFonts w:ascii="calibri" w:hAnsi="calibri" w:eastAsia="calibri" w:cs="calibri"/>
          <w:sz w:val="24"/>
          <w:szCs w:val="24"/>
          <w:b/>
        </w:rPr>
        <w:t xml:space="preserve">1,2%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kierowców najważniejszy jest jednak fakt, że ubezpieczyciele nie podnieśli składek OC po ich obniżce pod koniec roku. Inaczej bowiem bywało w przeszłości. Dla przykładu ubezpieczyciele wyraźnie obniżyli ceny w ostatnich miesiącach 2018 r., by następnie podnieść je od razu na początku 2019 r. </w:t>
      </w:r>
      <w:r>
        <w:rPr>
          <w:rFonts w:ascii="calibri" w:hAnsi="calibri" w:eastAsia="calibri" w:cs="calibri"/>
          <w:sz w:val="24"/>
          <w:szCs w:val="24"/>
        </w:rPr>
        <w:t xml:space="preserve">- wskazuje Paweł Kuczyński, prezes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2025-12-08T02:55:56+01:00</dcterms:created>
  <dcterms:modified xsi:type="dcterms:W3CDTF">2025-12-08T02:55:56+01:00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