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ubezpieczycieli: kogo dotyczą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najnowsze dane o skargach klientów do Rzecznika Finansowego. Których ubezpieczycieli dotyczyły często takie wnioski o interwencję Rzecznika?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Finansowy co roku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tysiące wniosków osób proszących o podjęcie interwencji</w:t>
      </w:r>
      <w:r>
        <w:rPr>
          <w:rFonts w:ascii="calibri" w:hAnsi="calibri" w:eastAsia="calibri" w:cs="calibri"/>
          <w:sz w:val="24"/>
          <w:szCs w:val="24"/>
        </w:rPr>
        <w:t xml:space="preserve">. Takie prośby wysyłają klienci oraz interesanci instytucji finansowych, którzy poczuli się pokrzywdzeni.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przyjrzeć się bliżej skargom kierowanym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Rzecznika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klientów ubezpieczycieli i osoby poszkodowane. Który zakład ubezpieczeń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dużą liczbą skarg na OC i AC</w:t>
      </w:r>
      <w:r>
        <w:rPr>
          <w:rFonts w:ascii="calibri" w:hAnsi="calibri" w:eastAsia="calibri" w:cs="calibri"/>
          <w:sz w:val="24"/>
          <w:szCs w:val="24"/>
        </w:rPr>
        <w:t xml:space="preserve"> w stosunku do skali działania?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Skargi na ubezpieczycieli a udział w rynku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Podawane przez Rzecznika Finansowego dane o liczbie skarg dotyczących ubezpieczeń komunikacyjnych warto odnieść do udziału rynkowego poszczególnych ubezpieczycieli. Widać to dobrze po przykładzie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Ta firma zwraca bowiem uwagę dużą liczbą skarg klientów i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uwzględni się udział PZU w przypisanej składce brutto OC i AC, to okaże się, że ten największy ubezpieczyciel w Polsce wcale nie wypada źle pod względem częstości skarg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porównywarki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OC i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ubezpieczycieli okazuje się, że w przypadku OC i AC jednym z najlepszych wyników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. Rezultat tego ubezpieczyciela to jedynie 18 skarg do Rzecznika w przeliczeniu na 1% udziału w rynku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 wypadła dobrze w tej kategorii również w latach 2017 - 2019. Widać zatem, że najnowszy wynik nie jest kwestią przypadku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relacji do znaczenia rynkowego lepiej od Warty wypadła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Concordia Polska TU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jacy inni ubezpieczyciele zasłużyli na pochwałę w kategorii OC i AC? Pozytywnie wyróżniają się wyniki osiągnięte przez następujące towarzystwa ubezpieczeniowe: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</w:rPr>
        <w:t xml:space="preserve"> - 34 skargi dotyczące polis komunikacyjnych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TUiR Allianz Polska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Generali TU S.A.</w:t>
      </w:r>
      <w:r>
        <w:rPr>
          <w:rFonts w:ascii="calibri" w:hAnsi="calibri" w:eastAsia="calibri" w:cs="calibri"/>
          <w:sz w:val="24"/>
          <w:szCs w:val="24"/>
        </w:rPr>
        <w:t xml:space="preserve"> - 37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 Compensa S.A. VIG</w:t>
      </w:r>
      <w:r>
        <w:rPr>
          <w:rFonts w:ascii="calibri" w:hAnsi="calibri" w:eastAsia="calibri" w:cs="calibri"/>
          <w:sz w:val="24"/>
          <w:szCs w:val="24"/>
        </w:rPr>
        <w:t xml:space="preserve"> - 39 skarg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TUW TUW</w:t>
      </w:r>
      <w:r>
        <w:rPr>
          <w:rFonts w:ascii="calibri" w:hAnsi="calibri" w:eastAsia="calibri" w:cs="calibri"/>
          <w:sz w:val="24"/>
          <w:szCs w:val="24"/>
        </w:rPr>
        <w:t xml:space="preserve"> - 42 skargi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znaleźć szerszą analizę dotyczącą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wszystkich skarg na ubezpieczycieli z działu II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Jak-Rzecznik-Finansowy-dawniej-Rzecznik-Ubezpieczonych-pomaga-kierowcom%2Cartykul%2C173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ubea.pl/Skargi-na-ubezpieczycieli-w-2020-r-raport-Rzecznika-Finansowego%2Cartykul%2C18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