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listopadzie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przynosi zazwyczaj spadki cen OC. Czy podobnie jest w 2020 r.? Prezentujemy nowy barometr OC przygotowany przez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z dziesięciu miesięcy (styczeń - październik) wskazują, że przeciętne ceny polis OC w tym roku na ogół oscylowały blisko styczniowej średniej. Czy podobnie było w listopadzie? Czy też może na koniec roku ubezpieczyciele zdecydowali się obniżyć składki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pytania prezentuje najnowsza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cenowa</w:t>
      </w:r>
      <w:r>
        <w:rPr>
          <w:rFonts w:ascii="calibri" w:hAnsi="calibri" w:eastAsia="calibri" w:cs="calibri"/>
          <w:sz w:val="24"/>
          <w:szCs w:val="24"/>
        </w:rPr>
        <w:t xml:space="preserve"> przygotowana przez porównywarkę ubezpieczeniową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listopada 2020 r. = 97↘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99↘)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powstaje barometr OC? Eksperci Ubea.pl co miesiąc sprawdzają wyniki ponad 100 000 kalkulacji wykonanych przez polskich kierowców. Na tej podstawie obliczają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</w:t>
      </w:r>
      <w:r>
        <w:rPr>
          <w:rFonts w:ascii="calibri" w:hAnsi="calibri" w:eastAsia="calibri" w:cs="calibri"/>
          <w:sz w:val="24"/>
          <w:szCs w:val="24"/>
        </w:rPr>
        <w:t xml:space="preserve"> proponowanej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Punktem odniesienia jest wynik ze stycznia danego roku. Wyznacza on wyjściowy poziom barometru cenowego równy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OC spadły w listopadzie?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roku przynosi zazwyczaj </w:t>
      </w:r>
      <w:r>
        <w:rPr>
          <w:rFonts w:ascii="calibri" w:hAnsi="calibri" w:eastAsia="calibri" w:cs="calibri"/>
          <w:sz w:val="24"/>
          <w:szCs w:val="24"/>
          <w:b/>
        </w:rPr>
        <w:t xml:space="preserve">obniżki cen OC</w:t>
      </w:r>
      <w:r>
        <w:rPr>
          <w:rFonts w:ascii="calibri" w:hAnsi="calibri" w:eastAsia="calibri" w:cs="calibri"/>
          <w:sz w:val="24"/>
          <w:szCs w:val="24"/>
        </w:rPr>
        <w:t xml:space="preserve">. Podobne zjawisko można zaobserwować również w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OC w listopadzie spadły wyraźnie w porównaniu do października. Średnia składka jest także niższa od tej zanotowanej w styczniu.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prawdopodobne, że w grudniu zaobserwujemy kolejne spadki cen OC. Na skalę tych obniżek może jednak negatywnie wpłynąć obecna sytuacja związana z koronawirusem i kryzysem gospodarczym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zwraca uwagę Paweł Kuczyński, prezes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2026-04-04T01:42:28+02:00</dcterms:created>
  <dcterms:modified xsi:type="dcterms:W3CDTF">2026-04-04T01:42:28+02:00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