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ubezpieczeniowe skusi komornika?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kryzysu gospodarczego wzrasta liczba nowych postępowań egzekucyjnych. Czy mogą one dotyczyć również odszkodowań otrzymanych z umowy ubezpieczenia?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kryzysu gospodarczego skutkuje na ogół wzrostem liczby postępowań egzekucyjnych. Obecna sytuacja raczej nie będzie wyjątkiem. Dłużnicy dość często pytają, </w:t>
      </w:r>
      <w:r>
        <w:rPr>
          <w:rFonts w:ascii="calibri" w:hAnsi="calibri" w:eastAsia="calibri" w:cs="calibri"/>
          <w:sz w:val="24"/>
          <w:szCs w:val="24"/>
          <w:b/>
        </w:rPr>
        <w:t xml:space="preserve">czy komornik może zająć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odszkodowania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otrzymane z umów ubezpieczeniowych</w:t>
      </w:r>
      <w:r>
        <w:rPr>
          <w:rFonts w:ascii="calibri" w:hAnsi="calibri" w:eastAsia="calibri" w:cs="calibri"/>
          <w:sz w:val="24"/>
          <w:szCs w:val="24"/>
        </w:rPr>
        <w:t xml:space="preserve">, a także środki przechowywane w ramach polis inwestycyjnych. Eksperci porównywarki ubezpieczeniowej Ubea.pl postanowili udzielić odpowiednich wyjaśnień.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i majątkowe a komornik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Przepisy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egzekucji świadczeń prowadzonej w ramach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 znajdziemy w rozporządzeniu Ministrów Finansów oraz Sprawiedliwości z dnia 4 lipca 1986 r. w sprawie określenia granic, w jakich świadczenia z ubezpieczeń osobowych i odszkodowania z ubezpieczeń majątkowych nie podlegają egzekucji sądowej (Dz.U. 1986 nr 26 poz. 128).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tego rozporządzenia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pieniężne z ubezpieczeń osobowych i odszkodowania powiązane z polisami majątkowymi nie podlegają egzekucji w trzech czwartych</w:t>
      </w:r>
      <w:r>
        <w:rPr>
          <w:rFonts w:ascii="calibri" w:hAnsi="calibri" w:eastAsia="calibri" w:cs="calibri"/>
          <w:sz w:val="24"/>
          <w:szCs w:val="24"/>
        </w:rPr>
        <w:t xml:space="preserve">. Specjalna ochrona dotyczy jednak tylko niewypłaconych świadczeń i odszkodowań. Należy też zauważyć, że limit ochrony odszkodowań oraz świadczeń ubezpieczeniowych na poziomie 75% ich wartości nie obejmuje egzekucji alimentów oraz zobowiązań wobec zakładu ubezpieczeń z tytułu niezapłaconej składki.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komornik może rozwiązać umowę ubezpieczenia?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Dłużnicy powinni też pamiętać, że w razie potrzeby komornik ma prawo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egzekucję z innych praw majątkowych</w:t>
      </w:r>
      <w:r>
        <w:rPr>
          <w:rFonts w:ascii="calibri" w:hAnsi="calibri" w:eastAsia="calibri" w:cs="calibri"/>
          <w:sz w:val="24"/>
          <w:szCs w:val="24"/>
        </w:rPr>
        <w:t xml:space="preserve">. Co to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Wierzyciel, dążąc do swojego zaspokojenia, może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wykonywać wszelkie uprawnienia majątkowe dłużnika</w:t>
      </w:r>
      <w:r>
        <w:rPr>
          <w:rFonts w:ascii="calibri" w:hAnsi="calibri" w:eastAsia="calibri" w:cs="calibri"/>
          <w:sz w:val="24"/>
          <w:szCs w:val="24"/>
        </w:rPr>
        <w:t xml:space="preserve"> wynikające z zajętego prawa. Przykładem jest rozwiązanie umowy polisy inwestycyjnej w celu „uwolnienia”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dla dłużników, takie działania nie są częste. Przeszkodę stanowią m.in. opłaty likwidacyjne naliczane w przypadku polis inwestycyjnych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2026-02-12T01:19:17+01:00</dcterms:created>
  <dcterms:modified xsi:type="dcterms:W3CDTF">2026-02-12T01:19:17+01:00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