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Odszkodowanie ubezpieczeniowe skusi komornika?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czasie kryzysu gospodarczego wzrasta liczba nowych postępowań egzekucyjnych. Czy mogą one dotyczyć również odszkodowań otrzymanych z umowy ubezpieczenia?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kryzysu gospodarczego skutkuje na ogół wzrostem liczby postępowań egzekucyjnych. Obecna sytuacja raczej nie będzie wyjątkiem. Dłużnicy dość często pytają, </w:t>
      </w:r>
      <w:r>
        <w:rPr>
          <w:rFonts w:ascii="calibri" w:hAnsi="calibri" w:eastAsia="calibri" w:cs="calibri"/>
          <w:sz w:val="24"/>
          <w:szCs w:val="24"/>
          <w:b/>
        </w:rPr>
        <w:t xml:space="preserve">czy komornik może zająć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odszkodowania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otrzymane z umów ubezpieczeniowych</w:t>
      </w:r>
      <w:r>
        <w:rPr>
          <w:rFonts w:ascii="calibri" w:hAnsi="calibri" w:eastAsia="calibri" w:cs="calibri"/>
          <w:sz w:val="24"/>
          <w:szCs w:val="24"/>
        </w:rPr>
        <w:t xml:space="preserve">, a także środki przechowywane w ramach polis inwestycyjnych. Eksperci porównywarki ubezpieczeniowej Ubea.pl postanowili udzielić odpowiednich wyjaśnień.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na życie i majątkowe a komornik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Przepisy dotyczące </w:t>
      </w:r>
      <w:r>
        <w:rPr>
          <w:rFonts w:ascii="calibri" w:hAnsi="calibri" w:eastAsia="calibri" w:cs="calibri"/>
          <w:sz w:val="24"/>
          <w:szCs w:val="24"/>
          <w:b/>
        </w:rPr>
        <w:t xml:space="preserve">egzekucji świadczeń prowadzonej w ramach kodeksu postępowania cywilnego</w:t>
      </w:r>
      <w:r>
        <w:rPr>
          <w:rFonts w:ascii="calibri" w:hAnsi="calibri" w:eastAsia="calibri" w:cs="calibri"/>
          <w:sz w:val="24"/>
          <w:szCs w:val="24"/>
        </w:rPr>
        <w:t xml:space="preserve"> znajdziemy w rozporządzeniu Ministrów Finansów oraz Sprawiedliwości z dnia 4 lipca 1986 r. w sprawie określenia granic, w jakich świadczenia z ubezpieczeń osobowych i odszkodowania z ubezpieczeń majątkowych nie podlegają egzekucji sądowej (Dz.U. 1986 nr 26 poz. 128).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tego rozporządzenia </w:t>
      </w:r>
      <w:r>
        <w:rPr>
          <w:rFonts w:ascii="calibri" w:hAnsi="calibri" w:eastAsia="calibri" w:cs="calibri"/>
          <w:sz w:val="24"/>
          <w:szCs w:val="24"/>
          <w:b/>
        </w:rPr>
        <w:t xml:space="preserve">świadczenia pieniężne z ubezpieczeń osobowych i odszkodowania powiązane z polisami majątkowymi nie podlegają egzekucji w trzech czwartych</w:t>
      </w:r>
      <w:r>
        <w:rPr>
          <w:rFonts w:ascii="calibri" w:hAnsi="calibri" w:eastAsia="calibri" w:cs="calibri"/>
          <w:sz w:val="24"/>
          <w:szCs w:val="24"/>
        </w:rPr>
        <w:t xml:space="preserve">. Specjalna ochrona dotyczy jednak tylko niewypłaconych świadczeń i odszkodowań. Należy też zauważyć, że limit ochrony odszkodowań oraz świadczeń ubezpieczeniowych na poziomie 75% ich wartości nie obejmuje egzekucji alimentów oraz zobowiązań wobec zakładu ubezpieczeń z tytułu niezapłaconej składki.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komornik może rozwiązać umowę ubezpieczenia?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Dłużnicy powinni też pamiętać, że w razie potrzeby komornik ma prawo </w:t>
      </w:r>
      <w:r>
        <w:rPr>
          <w:rFonts w:ascii="calibri" w:hAnsi="calibri" w:eastAsia="calibri" w:cs="calibri"/>
          <w:sz w:val="24"/>
          <w:szCs w:val="24"/>
          <w:b/>
        </w:rPr>
        <w:t xml:space="preserve">przeprowadzić egzekucję z innych praw majątkowych</w:t>
      </w:r>
      <w:r>
        <w:rPr>
          <w:rFonts w:ascii="calibri" w:hAnsi="calibri" w:eastAsia="calibri" w:cs="calibri"/>
          <w:sz w:val="24"/>
          <w:szCs w:val="24"/>
        </w:rPr>
        <w:t xml:space="preserve">. Co to oznacza?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Wierzyciel, dążąc do swojego zaspokojenia, może </w:t>
      </w:r>
      <w:r>
        <w:rPr>
          <w:rFonts w:ascii="calibri" w:hAnsi="calibri" w:eastAsia="calibri" w:cs="calibri"/>
          <w:sz w:val="24"/>
          <w:szCs w:val="24"/>
          <w:b/>
        </w:rPr>
        <w:t xml:space="preserve">wykonywać wszelkie uprawnienia majątkowe dłużnika</w:t>
      </w:r>
      <w:r>
        <w:rPr>
          <w:rFonts w:ascii="calibri" w:hAnsi="calibri" w:eastAsia="calibri" w:cs="calibri"/>
          <w:sz w:val="24"/>
          <w:szCs w:val="24"/>
        </w:rPr>
        <w:t xml:space="preserve"> wynikające z zajętego prawa. Przykładem jest rozwiązanie umowy polisy inwestycyjnej w celu „uwolnienia” zainwestowanych środków.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szczęście dla dłużników, takie działania nie są częste. Przeszkodę stanowią m.in. opłaty likwidacyjne naliczane w przypadku polis inwestycyjnych</w:t>
      </w:r>
      <w:r>
        <w:rPr>
          <w:rFonts w:ascii="calibri" w:hAnsi="calibri" w:eastAsia="calibri" w:cs="calibri"/>
          <w:sz w:val="24"/>
          <w:szCs w:val="24"/>
        </w:rPr>
        <w:t xml:space="preserve">” - tłumaczy Andrzej Prajsnar, ekspert porównywarki ubezpieczeniowej Ubea.pl.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odszkodowa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2026-09-16T16:27:39+02:00</dcterms:created>
  <dcterms:modified xsi:type="dcterms:W3CDTF">2026-09-16T16:27:39+02:00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