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czerwiec 2019 r. / II kwartał 2019 r.</w:t>
      </w:r>
    </w:p>
    <w:p>
      <w:pPr>
        <w:spacing w:before="0" w:after="500" w:line="264" w:lineRule="auto"/>
      </w:pPr>
      <w:r>
        <w:rPr>
          <w:rFonts w:ascii="calibri" w:hAnsi="calibri" w:eastAsia="calibri" w:cs="calibri"/>
          <w:sz w:val="36"/>
          <w:szCs w:val="36"/>
          <w:b/>
        </w:rPr>
        <w:t xml:space="preserve">Pod koniec II kwartału 2019 r. miały miejsce ciekawe zmiany dotyczące rankingu polis komunikacyjnych. Tłumaczymy, co dokładnie zmieniło się w czerwcu.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Czerwcowy barometr cenowy dotyczący obowiązkowych polis OC przyniósł dobre informacje dla kierowców. Mianowicie okazało się, że średni koszt obowiązkowego ubezpieczenia OC spadł o 3,5% (względem maja br.).</w:t>
      </w:r>
    </w:p>
    <w:p>
      <w:pPr>
        <w:spacing w:before="0" w:after="300"/>
      </w:pPr>
      <w:r>
        <w:rPr>
          <w:rFonts w:ascii="calibri" w:hAnsi="calibri" w:eastAsia="calibri" w:cs="calibri"/>
          <w:sz w:val="24"/>
          <w:szCs w:val="24"/>
        </w:rPr>
        <w:t xml:space="preserve">Warto sprawdzić, czy ta zmiana przełożyła się jakoś na wyniki czerwcowego rankingu porównywarki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Wspomniana analiza oprócz czerwcowej sytuacji na rynku podsumowuje również zmiany z całego II kwartału 2019 r. </w:t>
      </w:r>
    </w:p>
    <w:p>
      <w:pPr>
        <w:spacing w:before="0" w:after="300"/>
      </w:pPr>
    </w:p>
    <w:p>
      <w:pPr>
        <w:spacing w:before="0" w:after="500" w:line="264" w:lineRule="auto"/>
      </w:pPr>
      <w:r>
        <w:rPr>
          <w:rFonts w:ascii="calibri" w:hAnsi="calibri" w:eastAsia="calibri" w:cs="calibri"/>
          <w:sz w:val="36"/>
          <w:szCs w:val="36"/>
          <w:b/>
        </w:rPr>
        <w:t xml:space="preserve">Jak porównaliśmy wszystkich ubezpieczycieli? </w:t>
      </w:r>
    </w:p>
    <w:p>
      <w:pPr>
        <w:spacing w:before="0" w:after="300"/>
      </w:pPr>
    </w:p>
    <w:p>
      <w:pPr>
        <w:spacing w:before="0" w:after="300"/>
      </w:pPr>
      <w:r>
        <w:rPr>
          <w:rFonts w:ascii="calibri" w:hAnsi="calibri" w:eastAsia="calibri" w:cs="calibri"/>
          <w:sz w:val="24"/>
          <w:szCs w:val="24"/>
        </w:rPr>
        <w:t xml:space="preserve">Ranking Ubea.pl podsumowujący drugi kwartał bieżącego roku został przygotowany podobnie jak poprzednie analizy z tego cyklu. Eksperci porównywarki znów uwzględnili dziewięciu ubezpieczycieli oraz cztery kategorie rankingowe (polisy OC i pakiety: OC + NNW, OC + AC, OC + AC + NNW). Warto nadmienić, że cztery wspomniane kategorie rankingowe nie zmieniły się od stycznia 2015 roku.</w:t>
      </w:r>
    </w:p>
    <w:p>
      <w:pPr>
        <w:spacing w:before="0" w:after="300"/>
      </w:pPr>
      <w:r>
        <w:rPr>
          <w:rFonts w:ascii="calibri" w:hAnsi="calibri" w:eastAsia="calibri" w:cs="calibri"/>
          <w:sz w:val="24"/>
          <w:szCs w:val="24"/>
        </w:rPr>
        <w:t xml:space="preserve">O zwycięstwie w czerwcowym rankingu zadecydowała liczba punktów uzyskana w danej kategorii. Każdy zakład ubezpieczeń mógł uzyskać notę wynoszącą od 0,00 do 5,00 punktów. </w:t>
      </w:r>
      <w:r>
        <w:rPr>
          <w:rFonts w:ascii="calibri" w:hAnsi="calibri" w:eastAsia="calibri" w:cs="calibri"/>
          <w:sz w:val="24"/>
          <w:szCs w:val="24"/>
          <w:i/>
          <w:iCs/>
        </w:rPr>
        <w:t xml:space="preserve">„Najniższy wynik oznaczałby, że dany ubezpieczyciel we wszystkich pojedynczych porównaniach (uwzględniających tę firmę) ulokował się na ostatniej pozycji. Towarzystwo ubezpieczeń uzyskujące najwyższą liczbę punktów (5,00 pkt.) musiałoby zająć pierwsze miejsce w każdej kalkulacji z jego udziałem. Takie skrajne oceny są jednak czysto teoretyczne. Dowód stanowią wyniki czerwcowego rankingu na poziomie od 2,03 do 4,40 punktu” </w:t>
      </w:r>
      <w:r>
        <w:rPr>
          <w:rFonts w:ascii="calibri" w:hAnsi="calibri" w:eastAsia="calibri" w:cs="calibri"/>
          <w:sz w:val="24"/>
          <w:szCs w:val="24"/>
        </w:rPr>
        <w:t xml:space="preserve">- tłumaczy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Czerwiec przyniósł kilka zmian w rankingu ubezpieczeń</w:t>
      </w:r>
    </w:p>
    <w:p>
      <w:pPr>
        <w:spacing w:before="0" w:after="300"/>
      </w:pPr>
    </w:p>
    <w:p>
      <w:pPr>
        <w:spacing w:before="0" w:after="300"/>
      </w:pPr>
      <w:r>
        <w:rPr>
          <w:rFonts w:ascii="calibri" w:hAnsi="calibri" w:eastAsia="calibri" w:cs="calibri"/>
          <w:sz w:val="24"/>
          <w:szCs w:val="24"/>
        </w:rPr>
        <w:t xml:space="preserve">Informacje Ubea.pl jednoznacznie wskazują, które zakłady ubezpieczeń na przełomie wiosny oraz lata mocno konkurowały ceną polis komunikacyjnych. W czerwcu 2019 r. takimi liderami cenowymi były następujące firmy / marki ubezpieczeniowe: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- 4,13 pkt.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- 4,04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Link4 - 4,32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- 4,40 pkt. </w:t>
      </w:r>
    </w:p>
    <w:p>
      <w:pPr>
        <w:spacing w:before="0" w:after="300"/>
      </w:pPr>
    </w:p>
    <w:p>
      <w:pPr>
        <w:spacing w:before="0" w:after="300"/>
      </w:pPr>
      <w:r>
        <w:rPr>
          <w:rFonts w:ascii="calibri" w:hAnsi="calibri" w:eastAsia="calibri" w:cs="calibri"/>
          <w:sz w:val="24"/>
          <w:szCs w:val="24"/>
        </w:rPr>
        <w:t xml:space="preserve">Z całą pewnością na uwagę zasługuje fakt, że marka You Can Drive zastąpiła Benefię na pierwszym miejscu w kategorii OC + NNW. Była to najważniejsza zmiana czerwca. Sprawiła ona, że najnowszy ranking jest szczególnie korzystny dla Ergo Hestii (właściciela marki You Can Drive).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Oczywiście trzeba pamiętać, że polisy YCD są dostępne tylko dla młodych kierowców (do 30 roku życia). W czerwcu br. najtańsze ubezpieczenia komunikacyjne starszym właścicielom samochodów sprzedawali dwaj inni ubezpieczyciele. Mowa o Benefii (ranking OC) oraz Link4 (ranking OC + NNW)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inne czerwcowe zmiany, to trzeba stwierdzić, że na ogół nie przekraczały one poziomu dwóch miejsc rankingowych. Na uwagę zasługuje awans firm Link4 oraz Aviva w kategorii OC + NNW. Ci ubezpieczyciele również skorzystali ze słabszego wyniku Benefii</w:t>
      </w:r>
      <w:r>
        <w:rPr>
          <w:rFonts w:ascii="calibri" w:hAnsi="calibri" w:eastAsia="calibri" w:cs="calibri"/>
          <w:sz w:val="24"/>
          <w:szCs w:val="24"/>
        </w:rPr>
        <w:t xml:space="preserve">” - komentuje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Kwartalni zwycięzcy rankingu OC, AC, NNW bez zmian</w:t>
      </w:r>
    </w:p>
    <w:p>
      <w:pPr>
        <w:spacing w:before="0" w:after="300"/>
      </w:pPr>
    </w:p>
    <w:p>
      <w:pPr>
        <w:spacing w:before="0" w:after="300"/>
      </w:pPr>
      <w:r>
        <w:rPr>
          <w:rFonts w:ascii="calibri" w:hAnsi="calibri" w:eastAsia="calibri" w:cs="calibri"/>
          <w:sz w:val="24"/>
          <w:szCs w:val="24"/>
        </w:rPr>
        <w:t xml:space="preserve">Uporządkowane wyniki rankingów Ubea.pl z kwietnia, maja oraz czerwca 2019 r. stanowią dobry punkt wyjściowy do podsumowania minionego kwartału pod względem polityki cenowej ubezpieczycieli. Takie podsumowanie polegające na dodaniu liczby punktów wskazuje, że pod względem ceny najlepiej wypadły następujące zakłady ubezpieczeń: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- 12,42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- 11,98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Link4 - 13,03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- 12,70 pkt. na 15,00 pkt. możliwych do zdobycia </w:t>
      </w:r>
    </w:p>
    <w:p>
      <w:pPr>
        <w:spacing w:before="0" w:after="300"/>
      </w:pPr>
    </w:p>
    <w:p>
      <w:pPr>
        <w:spacing w:before="0" w:after="300"/>
      </w:pPr>
      <w:r>
        <w:rPr>
          <w:rFonts w:ascii="calibri" w:hAnsi="calibri" w:eastAsia="calibri" w:cs="calibri"/>
          <w:sz w:val="24"/>
          <w:szCs w:val="24"/>
        </w:rPr>
        <w:t xml:space="preserve">W ramach porównania warto spojrzeć na wyniki z poprzedniego kwartału (I kw. 2019 r.). Prezentują się one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- 12,46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- 11,94 pkt. na 15,00 pkt. możliwych do zdobycia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Link4 - 13,05 pkt. na 15,00 pkt. możliwych do zdobycia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Aviva - 13,12 pkt. na 15,00 pkt. możliwych do zdobycia </w:t>
      </w:r>
    </w:p>
    <w:p>
      <w:pPr>
        <w:spacing w:before="0" w:after="300"/>
      </w:pPr>
    </w:p>
    <w:p>
      <w:pPr>
        <w:spacing w:before="0" w:after="300"/>
      </w:pPr>
      <w:r>
        <w:rPr>
          <w:rFonts w:ascii="calibri" w:hAnsi="calibri" w:eastAsia="calibri" w:cs="calibri"/>
          <w:sz w:val="24"/>
          <w:szCs w:val="24"/>
        </w:rPr>
        <w:t xml:space="preserve">Powyższe porównanie dowodzi, że w ujęciu kwartalnym nie zmienili się liderzy cenowi na rynku ubezpieczeń komunikacyjnych. „</w:t>
      </w:r>
      <w:r>
        <w:rPr>
          <w:rFonts w:ascii="calibri" w:hAnsi="calibri" w:eastAsia="calibri" w:cs="calibri"/>
          <w:sz w:val="24"/>
          <w:szCs w:val="24"/>
          <w:i/>
          <w:iCs/>
        </w:rPr>
        <w:t xml:space="preserve">Jeżeli wyłączymy z analizy polisy You Can Drive, to okaże się, że najwyższy wynik dotyczący starszych kierowców uzyskała marka Benefia (ranking OC) oraz Benefia i firma Link4 (ranking OC + NNW). Nasza analiza pokazuje, że do ścisłej czołówki cenowej należy czterech porównywanych ubezpieczycieli</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2026-02-05T08:16:35+01:00</dcterms:created>
  <dcterms:modified xsi:type="dcterms:W3CDTF">2026-02-05T08:16:35+01:00</dcterms:modified>
</cp:coreProperties>
</file>

<file path=docProps/custom.xml><?xml version="1.0" encoding="utf-8"?>
<Properties xmlns="http://schemas.openxmlformats.org/officeDocument/2006/custom-properties" xmlns:vt="http://schemas.openxmlformats.org/officeDocument/2006/docPropsVTypes"/>
</file>