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 - na kogo skarżymy się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Finansowy podsumował niedawno ubiegłoroczne skargi na towarzystwa ubezpieczeń. Na których ubezpieczycieli Polacy skarżyli się najczęściej?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zawsze na początku wiosny, Rzecznik Finansowy publikuje swoje sprawozdanie dotyczące działalności w minionym roku. Jego działania obejmują między innymi rozpatrywanie wniosków o interwencję, które składają klienci ubezpieczycieli i osoby poszkodowane.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więc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których ubezpieczycieli Polacy skarżyli się najczęściej</w:t>
      </w:r>
      <w:r>
        <w:rPr>
          <w:rFonts w:ascii="calibri" w:hAnsi="calibri" w:eastAsia="calibri" w:cs="calibri"/>
          <w:sz w:val="24"/>
          <w:szCs w:val="24"/>
        </w:rPr>
        <w:t xml:space="preserve">. Co ważne, analiza uwzględnia udział poszczególnych firm ubezpieczeniowych w całym rynku polis komunikacyjnych oraz majątkowych.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ubezpieczeniach komunikacyjnych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eksperci Ubea.pl przyjrzeli się ubezpieczeniom komunikacyjnym. W poniższej tabeli można sprawdzić liczbę wniosków o interwencję Rzecznika Finansowego związanych z tymi polisami.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poprzednich latach zdecydowanie najwięcej takich skarg (1346) dotyczyło ubezpieczeń dla kierowców sprzedawanych przez PZU S.A. Na kolejnych miejscach uplasowały się dwie firmy z rynkowego podium: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(623 skargi)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TUiR WARTA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(390 skarg)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wiodących ubezpieczycieli okaże się jednak, że wypadli oni dobrze lub nawet bardzo dobrze. Pod względem liczby wniosków o interwencję Rzecznika Finansowego na 1% udziału rynkowego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wynikiem 22, zaprezentowała się niemal najlepiej wśród wszystkich ubezpieczycieli sprzedających polisy komunikacyjne. Lepszy wynik (16) osiągnął tylko TUW PZUW posiadający jednak minimalny udział rynkowy.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Którzy ubezpieczyciele wypadli dobrze w całym dziale II?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sprawdzili także częstotliwość skarg dotyczących wszystkich ubezpieczeń z działu II (tzn. ubezpieczeń majątkowych i pozostałych ubezpieczeń osobowych). Są to nie tylko ubezpieczenia komunikacyjne, lecz także mieszkaniowe, turystyczne czy NNW.n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interwencję Rzecznika Finansowego dotyczyło trzech wiodących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(2369 skarg),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(961 skarg),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WARTA S.A. (696 skarg).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udziału rynkowego najwięksi ubezpieczyciele znów jednak wypadli dobrze lub bardzo dobrze. Szczególnie pozytywnie przedstawia się wynik Warty (49 skarg na 1% udziału rynkowego).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Warta, podobnie jak rok temu, wyprzedziła wszystkich średnich i dużych konkurentów </w:t>
      </w:r>
      <w:r>
        <w:rPr>
          <w:rFonts w:ascii="calibri" w:hAnsi="calibri" w:eastAsia="calibri" w:cs="calibri"/>
          <w:sz w:val="24"/>
          <w:szCs w:val="24"/>
        </w:rPr>
        <w:t xml:space="preserve">-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wyniki osiągnęli inni ubezpieczyciele? Liczba skarg na 1% udziału rynkowego przedstawia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- 64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Concordia Polska T.U. S.A. - 65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- 77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Allianz Polska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Aviva TU Ogólnych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AXA Ubezpieczenia TUiR S.A. - 87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Generali TU S.A. - 91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Wiener TU S.A. VIG - 102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Compensa S.A. VIG - 112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Interrisk S.A. VIG - 113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TUW - 132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Link4 TU S.A. - 156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UNIQA TU S.A. - 165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fakt, że wyniki ubezpieczycieli z najwyższą skargowością w dziale II znacząco spadły względem 2018 roku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 Pozostaje mieć nadzieję, że w 2020 r. ten trend się utrzyma.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arta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2026-07-22T00:59:52+02:00</dcterms:created>
  <dcterms:modified xsi:type="dcterms:W3CDTF">2026-07-22T00:59:52+02:00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