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będzie nowy powód do podwyżki składek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zmieniły się przepisy dotyczące wyczerpywalności sum gwarancyjnych z OC. Jaki wpływ będzie to miało na składki obowiązkowych polis?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lipcowego barometru Ubea.pl wskazują, że w pierwszym miesiącu wakacji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polisy OC dla kierowców dość znacząco podrożały</w:t>
      </w:r>
      <w:r>
        <w:rPr>
          <w:rFonts w:ascii="calibri" w:hAnsi="calibri" w:eastAsia="calibri" w:cs="calibri"/>
          <w:sz w:val="24"/>
          <w:szCs w:val="24"/>
        </w:rPr>
        <w:t xml:space="preserve">. Mowa o wzroście z 87% do 90% średniej styczniowej składki. Ten wzrost oznaczał powrót cen obowiązkowego OC do poziomu z lutego oraz maja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takiej zmiany pojawiają się obawy, że koszty ubezpieczeń OC dla posiadaczy samochodów osobowych znów zaczną rosnąć. Wspomniane obawy narastają dodatkowo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ustawy dotyczącej wyczerpywalności sum gwarancyjnych z OC</w:t>
      </w:r>
      <w:r>
        <w:rPr>
          <w:rFonts w:ascii="calibri" w:hAnsi="calibri" w:eastAsia="calibri" w:cs="calibri"/>
          <w:sz w:val="24"/>
          <w:szCs w:val="24"/>
        </w:rPr>
        <w:t xml:space="preserve">. Tę ustawę z 19 lipca 2019 r. niedawno podpisał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wyjaśniają, czy wspomniana ustawa rzeczywiście może wpłynąć na </w:t>
      </w:r>
      <w:r>
        <w:rPr>
          <w:rFonts w:ascii="calibri" w:hAnsi="calibri" w:eastAsia="calibri" w:cs="calibri"/>
          <w:sz w:val="24"/>
          <w:szCs w:val="24"/>
          <w:b/>
        </w:rPr>
        <w:t xml:space="preserve">ceny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regulacje dotyczą ofiar wypadków sprzed lat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warto podkreślić, że przepisy niedawno zaakceptowane przez Sejm, Senat i Prezydenta mają znaczenie przede wszystkim dla </w:t>
      </w:r>
      <w:r>
        <w:rPr>
          <w:rFonts w:ascii="calibri" w:hAnsi="calibri" w:eastAsia="calibri" w:cs="calibri"/>
          <w:sz w:val="24"/>
          <w:szCs w:val="24"/>
          <w:b/>
        </w:rPr>
        <w:t xml:space="preserve">ofiar wypadków drogowych sprzed lat</w:t>
      </w:r>
      <w:r>
        <w:rPr>
          <w:rFonts w:ascii="calibri" w:hAnsi="calibri" w:eastAsia="calibri" w:cs="calibri"/>
          <w:sz w:val="24"/>
          <w:szCs w:val="24"/>
        </w:rPr>
        <w:t xml:space="preserve">. W kwietniu 2016 roku Rzecznik Praw Obywatelskich zwrócił uwagę, że niskie limity odpowiedzialności ubezpieczycieli obowiązujące np. w połowie lat 90 - tych stanowią obecnie problem dla osób poważnie poszkodowanych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osoby na wskutek długotrwałej choroby lub rehabilitacji wyczerpały bowiem limit odpowiedzialności ubezpieczyciela, który obowiązywał przed laty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ubezpieczeniowej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suma gwarancyjna OC dla kierowców z połowy lat 90 - tych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równowartość 600 000 euro (ecu) w odniesieniu do jednego zdarzenia</w:t>
      </w:r>
      <w:r>
        <w:rPr>
          <w:rFonts w:ascii="calibri" w:hAnsi="calibri" w:eastAsia="calibri" w:cs="calibri"/>
          <w:sz w:val="24"/>
          <w:szCs w:val="24"/>
        </w:rPr>
        <w:t xml:space="preserve">. Taki limit, nawet po uwzględnieniu inflacji, wydaje się niewielki w porównaniu do analogicznych kwot, które obecnie przewiduje ustawa o ubezpieczeniach obowiązkowych.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nadmienić, że niskie limity odpowiedzialności ubezpieczycieli w ramach OC obowiązywały również po wejściu w życie wspomnianej ustawy z 2003 r. Te limity w 2003 r. wynosiły odpowiednio: 350 000 euro na jednego poszkodowanego (szkody osobowe) i 200 000 euro na jedno zdarzenie (szkody majątkowe)</w:t>
      </w:r>
      <w:r>
        <w:rPr>
          <w:rFonts w:ascii="calibri" w:hAnsi="calibri" w:eastAsia="calibri" w:cs="calibri"/>
          <w:sz w:val="24"/>
          <w:szCs w:val="24"/>
        </w:rPr>
        <w:t xml:space="preserve">” - wymienia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UFG poniesie ciężar wyższych świadczeń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Podpisana niedawno przez Prezydenta ustawa z 19 lipca 2019 r. (o szczególnych uprawnieniach osób poszkodowanych w przypadku wyczerpania sumy gwarancyjnej na podstawie przepisów obowiązujących przed dniem 1 stycznia 2006 roku) stanowi odpowiedź na problem zasygnalizowany trzy lata temu przez RPO. Warto pokrótce przybliżyć rozwiązania wprowadzane przez ten akt prawny. Reguluje on nie tylko kwestię </w:t>
      </w:r>
      <w:r>
        <w:rPr>
          <w:rFonts w:ascii="calibri" w:hAnsi="calibri" w:eastAsia="calibri" w:cs="calibri"/>
          <w:sz w:val="24"/>
          <w:szCs w:val="24"/>
          <w:b/>
        </w:rPr>
        <w:t xml:space="preserve">wyczerpywalności sum gwarancyjnych z OC dla kierowców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Niedawno uchwalona ustawa zapewnia również dodatkowe finansowanie roszczeń związanych z obowiązkowymi polisami OC rolników. Znaczenie takiej regulacji dla całego rynku ubezpieczeniowego i podmiotu obciążonego kosztami (UFG) będzie jednak o wiele mniejsze niż w przypadku OC kierowców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obowiązkowe polisy komunikacyjne to nowe przepisy przewidują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obecnego limitu świadczeń za szkody osobowe</w:t>
      </w:r>
      <w:r>
        <w:rPr>
          <w:rFonts w:ascii="calibri" w:hAnsi="calibri" w:eastAsia="calibri" w:cs="calibri"/>
          <w:sz w:val="24"/>
          <w:szCs w:val="24"/>
        </w:rPr>
        <w:t xml:space="preserve"> (5,21 mln euro za jedno zdarzenie), jeżeli umowa OC z wyczerpaną sumą ubezpieczenia została zawarta przed 1 stycznia 2006 r. Taki podwyższony limit (5,21 mln euro) dotyczy również szkód wyrządzonych przed 1 stycznia 2006 r. przez nieznanego lub nieubezpieczonego kierowcę.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dodatkowe finansowanie świadczeń wedle podwyższonych limitów będzie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jedynie wypłaty rent</w:t>
      </w:r>
      <w:r>
        <w:rPr>
          <w:rFonts w:ascii="calibri" w:hAnsi="calibri" w:eastAsia="calibri" w:cs="calibri"/>
          <w:sz w:val="24"/>
          <w:szCs w:val="24"/>
        </w:rPr>
        <w:t xml:space="preserve">. Roszczenia poszkodowanych mają obejmować tylko okres po wejściu w życie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rozwiązania ograniczają koszty, które poniesie Ubezpieczeniowy Fundusz Gwarancyjny, czyli instytucja finansująca uzupełnienie wyczerpanych sum gwarancyjnych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będzie wpływ nowej ustawy na składki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Ubezpieczeniowy Fundusz Gwarancyjny</w:t>
      </w:r>
      <w:r>
        <w:rPr>
          <w:rFonts w:ascii="calibri" w:hAnsi="calibri" w:eastAsia="calibri" w:cs="calibri"/>
          <w:sz w:val="24"/>
          <w:szCs w:val="24"/>
        </w:rPr>
        <w:t xml:space="preserve"> przy pomocy swoich dochodów pokryje wydatki związane z zastosowaniem aktualnych sum gwarancyjnych do wypłaty „starych” rent. Część kosztu nowych regulacji mogą ponieść ubezpieczyciele poprzez wyższe obowiązkowe wpłaty na rzecz Ubezpieczeniowego Funduszu Gwarancyjnego.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Ubea.pl podkreśla jednak, że do ustalenia takich wyższych wpłat potrzebne byłoby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rozporządzenie Ministra Finansów</w:t>
      </w:r>
      <w:r>
        <w:rPr>
          <w:rFonts w:ascii="calibri" w:hAnsi="calibri" w:eastAsia="calibri" w:cs="calibri"/>
          <w:sz w:val="24"/>
          <w:szCs w:val="24"/>
        </w:rPr>
        <w:t xml:space="preserve">. Obecne rozporządzenie ustala roczną składkę na UFG jako 1,3% przypisanej składki brutto z ubezpieczeń OC posiadaczy pojazdów mechanicznych i OC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Ubezpieczeniowy Fundusz Gwarancyjny na razie zadeklarował, że ta obowiązkowa stawka nie ulegnie zmianie. Nie można jednak wykluczyć jej wzrostu w kolejnych latach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zebrane przez senackich ekspertów wskazują, że do 2027 r. maksymalny koszt uchwalonych niedawno przepisów wyniesie około 75 mln zł. Przyszłoroczne szacunki mówią o kwocie wynoszącej co najwyżej 7,4 mln zł. Nawet przy założeniu takiego maksymalnego poziomu rocznych kosztów i jego pełnego pokrycia przez ubezpieczycieli okazuje się, że cena każdej z 25 mln obowiązkowych polis OC powinna wzrosnąć tylko o 30 groszy.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wynik pokazuje, że skutki ustawy z 19 lipca 2019 r. nie mogą mieć istotnego wpływu na ceny obowiązkowych polis OC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2026-05-25T20:56:13+02:00</dcterms:created>
  <dcterms:modified xsi:type="dcterms:W3CDTF">2026-05-25T20:56:13+02:00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