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Barometr Ubea.pl: ceny OC w lipcu 2019 r.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Czerwiec przyniósł dość wyraźny spadek średniej składki OC. Sprawdziliśmy, czy taka sytuacja powtórzyła się w lipcu.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Półroczny bilans zmian cenowych na rynku obowiązkowego OC był jednoznaczny. Informacje porównywarki ubezpieczeniowej Ubea.pl potwierdziły bowiem, że od stycznia do czerwca 2019 r. średnia składka OC oferowana przez Internet spadła o 13%. Po przeanalizowaniu danych Ubea.pl z lipca br. okazało się, że sytuacja na rynku obowiązkowych polis OC jest nieco bardziej skomplikowana niż wcześniej. Informacje pochodzące z ponad 100 000 rzeczywistych kalkulacji internautów wskazują, że obowiązkowe polisy nieco podrożały w pierwszym miesiącu wakacji. </w:t>
      </w: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Wartość barometru cenowego z lipca 2019 r. = </w:t>
      </w:r>
      <w:r>
        <w:rPr>
          <w:rFonts w:ascii="calibri" w:hAnsi="calibri" w:eastAsia="calibri" w:cs="calibri"/>
          <w:sz w:val="28"/>
          <w:szCs w:val="28"/>
          <w:b/>
        </w:rPr>
        <w:t xml:space="preserve">90↗</w:t>
      </w:r>
      <w:r>
        <w:rPr>
          <w:rFonts w:ascii="calibri" w:hAnsi="calibri" w:eastAsia="calibri" w:cs="calibri"/>
          <w:sz w:val="28"/>
          <w:szCs w:val="28"/>
          <w:b/>
        </w:rPr>
        <w:t xml:space="preserve"> (wynik dla poprzedniego miesiąca:</w:t>
      </w:r>
      <w:r>
        <w:rPr>
          <w:rFonts w:ascii="calibri" w:hAnsi="calibri" w:eastAsia="calibri" w:cs="calibri"/>
          <w:sz w:val="28"/>
          <w:szCs w:val="28"/>
          <w:b/>
        </w:rPr>
        <w:t xml:space="preserve"> 87↘</w:t>
      </w:r>
      <w:r>
        <w:rPr>
          <w:rFonts w:ascii="calibri" w:hAnsi="calibri" w:eastAsia="calibri" w:cs="calibri"/>
          <w:sz w:val="28"/>
          <w:szCs w:val="28"/>
          <w:b/>
        </w:rPr>
        <w:t xml:space="preserve">)</w:t>
      </w:r>
      <w:r>
        <w:rPr>
          <w:rFonts w:ascii="calibri" w:hAnsi="calibri" w:eastAsia="calibri" w:cs="calibri"/>
          <w:sz w:val="28"/>
          <w:szCs w:val="28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Lipcowy barometr Ubea.pl opiera się dokładnie na takich samych założeniach, jak wcześniejsze odsłony tej analizy. Eksperci porównywarki Ubea.pl znów wzięli pod uwagę średnią składkę ubezpieczeń OC oferowanych w kalkulatorze online przez dziewięć analizowanych firm i marek ubezpieczeniowych. Podstawą analizy była średnia składka OC wyliczona łącznie dla tych dziewięciu ubezpieczycieli.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Taka przeciętna cena polisy OC oferowanej przez Internet, w lipcu wyniosła 1466 zł. Był to wynik bardzo zbliżony do wartości odnotowanych w lutym 2019 r. (1465 zł) oraz maju 2019 r. (1459 zł)</w:t>
      </w:r>
      <w:r>
        <w:rPr>
          <w:rFonts w:ascii="calibri" w:hAnsi="calibri" w:eastAsia="calibri" w:cs="calibri"/>
          <w:sz w:val="24"/>
          <w:szCs w:val="24"/>
        </w:rPr>
        <w:t xml:space="preserve">” - informuje Andrzej Prajsnar, ekspert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Lipcowa średnia składka OC równocześnie wyniosła 90% analogicznego wyniku ze stycznia (1624 zł), który stanowi punkt odniesienia dla całego bieżącego roku. Właśnie dlatego poziom barometru cenowego Ubea.pl w lipcu to 90. Identyczny wynik odnotowano również w lutym oraz maju 2019 r.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Oczywiście nie oznacza to, że poszczególne zakłady ubezpieczeń w lipcu wyceniały obowiązkową ochronę dokładnie tak samo jak dwa miesiące oraz pięć miesięcy wcześniej</w:t>
      </w:r>
      <w:r>
        <w:rPr>
          <w:rFonts w:ascii="calibri" w:hAnsi="calibri" w:eastAsia="calibri" w:cs="calibri"/>
          <w:sz w:val="24"/>
          <w:szCs w:val="24"/>
        </w:rPr>
        <w:t xml:space="preserve">” - wyjaśnia Paweł Kuczyński, prezes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Eksperci porównywarki Ubea.pl już wcześniej sugerowali, że czerwcowy spadek średniej składki OC nie przesądza o kontynuacji obniżek w kolejnych miesiącach. Lipcowe dane wskazują, że takie ostrożne podejście było jak najbardziej uzasadnione.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Trudno bowiem liczyć na trwały spadek wartości odszkodowań z OC komunikacyjnego, który zachęciłby zakłady ubezpieczeń do dalszego obniżania składek za obowiązkowe polisy. O wyraźnym zmniejszeniu rentowności takich ubezpieczeń nie ma natomiast mowy, bo nad sytuacją rynkową czuwa KNF</w:t>
      </w:r>
      <w:r>
        <w:rPr>
          <w:rFonts w:ascii="calibri" w:hAnsi="calibri" w:eastAsia="calibri" w:cs="calibri"/>
          <w:sz w:val="24"/>
          <w:szCs w:val="24"/>
        </w:rPr>
        <w:t xml:space="preserve">” - podsumowuje Andrzej Prajsnar, ekspert porównywarki ubezpieczeniowej Ubea.pl.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2025-04-27T22:18:46+02:00</dcterms:created>
  <dcterms:modified xsi:type="dcterms:W3CDTF">2025-04-27T22:18:46+02:00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