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staniało w I kwartale 2021 r.?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odczuwa skutki spowolnienia gospodarczego. Warto więc sprawdzić, czy I kwartał 2021 r. zakończył się spadkami średnich składek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Lutowe wyniki barometru cenowego Ubea.pl mogły ucieszyć kierowców, choć spadek średniej składki OC względem poprzedniego miesiąca (-2,1%) okazał się raczej niewielki. </w:t>
      </w:r>
      <w:r>
        <w:rPr>
          <w:rFonts w:ascii="calibri" w:hAnsi="calibri" w:eastAsia="calibri" w:cs="calibri"/>
          <w:sz w:val="24"/>
          <w:szCs w:val="24"/>
          <w:b/>
        </w:rPr>
        <w:t xml:space="preserve">Czy w marcu spadkowy trend był kontynuowany?</w:t>
      </w:r>
      <w:r>
        <w:rPr>
          <w:rFonts w:ascii="calibri" w:hAnsi="calibri" w:eastAsia="calibri" w:cs="calibri"/>
          <w:sz w:val="24"/>
          <w:szCs w:val="24"/>
        </w:rPr>
        <w:t xml:space="preserve"> To ważna kwestia, bo wyniki finansowe ubezpieczycieli ze sprzedaży OC są dobre pomimo kryzysu gospodarczego. Potwierdzają to niedawno opublikowane dane KNF-u za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OC w marcu 2021 = 94↘</w:t>
      </w:r>
      <w:r>
        <w:rPr>
          <w:rFonts w:ascii="calibri" w:hAnsi="calibri" w:eastAsia="calibri" w:cs="calibri"/>
          <w:sz w:val="24"/>
          <w:szCs w:val="24"/>
        </w:rPr>
        <w:t xml:space="preserve"> (wynik w poprzednim miesiącu: 98↘)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OC</w:t>
      </w:r>
      <w:r>
        <w:rPr>
          <w:rFonts w:ascii="calibri" w:hAnsi="calibri" w:eastAsia="calibri" w:cs="calibri"/>
          <w:sz w:val="24"/>
          <w:szCs w:val="24"/>
        </w:rPr>
        <w:t xml:space="preserve"> eksperci Ubea.pl porównują ceny z danego miesiąca do średniej składki obowiązkowej polisy w styczniu tego samego roku. Podstawę do barometru stanowi ponad 100 000 anonimowych kalkulacji internautów wykonywanych przy pomocy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wykresie poziom cenowy odpowiadający składce OC ze stycznia 2021 oznaczono jako 100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marcu ceny OC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zaprezentować marcowy barometr OC: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składka spadła o 3,8% względem poprzedniego miesiąca. Dodatkowo, marcowy wynik stanowił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94% średniego kosztu polisy OC w styczniu 2021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marcowych zmianach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wziąć pod uwagę niedawno opublikowane</w:t>
      </w:r>
      <w:r>
        <w:rPr>
          <w:rFonts w:ascii="calibri" w:hAnsi="calibri" w:eastAsia="calibri" w:cs="calibri"/>
          <w:sz w:val="24"/>
          <w:szCs w:val="24"/>
          <w:b/>
        </w:rPr>
        <w:t xml:space="preserve"> roczne wyniki finansowe ubezpieczycieli</w:t>
      </w:r>
      <w:r>
        <w:rPr>
          <w:rFonts w:ascii="calibri" w:hAnsi="calibri" w:eastAsia="calibri" w:cs="calibri"/>
          <w:sz w:val="24"/>
          <w:szCs w:val="24"/>
        </w:rPr>
        <w:t xml:space="preserve">. Z danych Komisji Nadzoru Finansowego wynika, że zysk techniczny ze sprzedaży polis OC w 2020 r. wyniósł ok. 521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 spory spadek względem 2019 r., kiedy zysk techniczny wyniósł 904 mln zł. Nadal jednak poziom zysku ze sprzedaży OC można uznać za wysoki.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mają więc możliwość dość swobodnego prowadzenia swojej polityki cenowej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 z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to kierowcom nadzieję, że wiosenne miesiące przyniosą kolejne spadki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najtansz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2025-12-05T14:17:42+01:00</dcterms:created>
  <dcterms:modified xsi:type="dcterms:W3CDTF">2025-12-05T14:17:42+01:00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