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 w miastach wojewódzkich w II kwartale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ubezpieczeń Ubea.pl sprawdzili przeciętne ceny polis OC w miastach wojewódzkich. Warto dowiedzieć się, gdzie takie średnie składki były najniższe.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2019 r. eksperci porównywarki ubezpieczeniowej Ubea.pl sprawdzili średni poziom składek OC z miast wojewódzkich. Wspomniana analiza dotyczyła pierwszych trzech miesięcy 2019 r. Warto powtórzyć podobne badanie przeciętnych kosztów OC na podstawie danych z </w:t>
      </w:r>
      <w:r>
        <w:rPr>
          <w:rFonts w:ascii="calibri" w:hAnsi="calibri" w:eastAsia="calibri" w:cs="calibri"/>
          <w:sz w:val="24"/>
          <w:szCs w:val="24"/>
          <w:b/>
        </w:rPr>
        <w:t xml:space="preserve">drugiego kwartału bieżącego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porównywarki Ubea.pl wskazują bowiem, że w ujęciu kwartalnym znacząco </w:t>
      </w:r>
      <w:r>
        <w:rPr>
          <w:rFonts w:ascii="calibri" w:hAnsi="calibri" w:eastAsia="calibri" w:cs="calibri"/>
          <w:sz w:val="24"/>
          <w:szCs w:val="24"/>
          <w:b/>
        </w:rPr>
        <w:t xml:space="preserve">zmalała średnia cena ubezpieczenia OC z miast wojewódzkich</w:t>
      </w:r>
      <w:r>
        <w:rPr>
          <w:rFonts w:ascii="calibri" w:hAnsi="calibri" w:eastAsia="calibri" w:cs="calibri"/>
          <w:sz w:val="24"/>
          <w:szCs w:val="24"/>
        </w:rPr>
        <w:t xml:space="preserve">. Wspomniane miasta nadal cechowały się jednak bardzo dużymi różnicami przeciętnej składki obowiązkowej polisy OC. Wbrew pozorom, w II kw. 2019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zostało wcale zanotowane wcale w jednym z najmniejszych miast wojewódzkich.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„najtańszym” miastem wojewódzkim był Lublin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wprowadzenia warto wyjaśnić, że najnowsza analiza średnich składek OC przygotowana przez portal Ubea.pl opiera się na wynikach tysięcy rzeczywistych kalkulacji internautów.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osobach, które za pośrednictwem internetowego kalkulatora od początku kwietnia do końca czerwca br. porównywały koszt obowiązkowej ochrony. Poniższa tabela prezentuje skumulowane wyniki kalkulacji takich osób z podziałem na poszczególne miasta wojewódzkie oraz miesiące (kwiecień, maj i czerwiec 2019 r.)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Najwygodniejsze do przeanalizowania wydają się łączne dane z II kw. 2019 r. Wskazują one, że wiosną średnia składka OC w „najtańszym” towarzystwie była bardzo zróżnicowana. W zależności od miasta taki </w:t>
      </w:r>
      <w:r>
        <w:rPr>
          <w:rFonts w:ascii="calibri" w:hAnsi="calibri" w:eastAsia="calibri" w:cs="calibri"/>
          <w:sz w:val="24"/>
          <w:szCs w:val="24"/>
          <w:b/>
        </w:rPr>
        <w:t xml:space="preserve">minimalny koszt ochrony</w:t>
      </w:r>
      <w:r>
        <w:rPr>
          <w:rFonts w:ascii="calibri" w:hAnsi="calibri" w:eastAsia="calibri" w:cs="calibri"/>
          <w:sz w:val="24"/>
          <w:szCs w:val="24"/>
        </w:rPr>
        <w:t xml:space="preserve"> prezentował się następująco: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 - składka o 12%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- składka o 16%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 - składka o 29%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Gorzów Wlk. - składka o 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- składka o 8%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Kielce - składka o 13%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- składka o 5%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 - składka o 15%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- składka o 10%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 - składka o tej samej wysokości względem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Opole - składka o 6%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- składka o 8%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 - składka o 10%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 - składka o 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Toruń - składka o 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- składka o 22%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- składka o 24% wyższa od średniej z 18 analizowanych miast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Góra - składka o 10% niższa od średniej z 18 analizowanych miast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zwracają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niskie składki OC z Lublina, Białegostoku, Łodzi, Rzeszowa, Zielonej Góry oraz Kielc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przeciwnym biegunie cenowym już tradycyjnie ulokowały się trzy metropolie: </w:t>
      </w:r>
      <w:r>
        <w:rPr>
          <w:rFonts w:ascii="calibri" w:hAnsi="calibri" w:eastAsia="calibri" w:cs="calibri"/>
          <w:sz w:val="24"/>
          <w:szCs w:val="24"/>
          <w:b/>
        </w:rPr>
        <w:t xml:space="preserve">Warszawa, Wrocław i Gdańsk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Polisy OC z dużych miast kwartalnie potaniały o 11%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ujęciu kwotowym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składka OC z „najtańszego” towarzystwa (za II kw. 2019 r.) wynosiła od 489 zł do 746 zł</w:t>
      </w:r>
      <w:r>
        <w:rPr>
          <w:rFonts w:ascii="calibri" w:hAnsi="calibri" w:eastAsia="calibri" w:cs="calibri"/>
          <w:sz w:val="24"/>
          <w:szCs w:val="24"/>
        </w:rPr>
        <w:t xml:space="preserve">. Warto zwrócić uwagę, że po wzroście w maju br. (z 558 zł do 586 zł) średni wynik dla wszystkich analizowanych miast nie zmienił się już w czerwcu.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natomiast chodzi o porównanie kwartalne (I kw. 2019 r. / II kw. 2019 r.), to można stwierdzić, że średnia składka OC w „najtańszym” towarzystwie spadła o 11%. Taki wynik z pewnością stanowi dobrą wiadomość dla kierowców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2026-03-22T14:23:50+01:00</dcterms:created>
  <dcterms:modified xsi:type="dcterms:W3CDTF">2026-03-22T14:23:50+01:00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