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2019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przyniósł wzrost średnich składek ubezpieczenia OC. Sprawdzamy, czy wzrostowy trend utrzymał się na początku kolejnego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października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2↔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92</w:t>
      </w:r>
      <w:r>
        <w:rPr>
          <w:rFonts w:ascii="calibri" w:hAnsi="calibri" w:eastAsia="calibri" w:cs="calibri"/>
          <w:sz w:val="36"/>
          <w:szCs w:val="36"/>
          <w:b/>
        </w:rPr>
        <w:t xml:space="preserve">↗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przypomnienia warto poinformować, że średnia miesięczna składka analizowana przez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powstaje jako wynik podsumowania ponad 100 000 indywidualnych wyliczeń z kalkulatora OC. Po uśrednieniu składek OC oferowanych internautom przez dziewięciu ubezpieczycieli (Aviva, Benefia, Generali, Link4, MTU24, Proama, UNIQA, Wiener oraz You Can Drive)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wynik z października 2019 r. wyniósł 1490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 niewielki miesięczny spadek średniej składki OC (o 0,8%) względem analogicznej wartości odnotowanej dla września. Tym niemniej, odczyt barometru cenowego Ubea.pl utrzymał się na identycznym poziomie (92) jak poprzednio (zobacz poniższy wykres).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konsekwencja faktu, że po zaokrągleniu zarówno wynik z września, jak i października stanowi 92% średniej składki OC notowanej w styczniu 2019 r. (1624 zł)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obniżek OC mimo dobrych wyników finansowych ubezpieczycieli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2019 r. upłynął pod znakiem stabilizacji średniej składki OC, mimo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ubezpieczeń notują bardzo dobre wyniki finansowe</w:t>
      </w:r>
      <w:r>
        <w:rPr>
          <w:rFonts w:ascii="calibri" w:hAnsi="calibri" w:eastAsia="calibri" w:cs="calibri"/>
          <w:sz w:val="24"/>
          <w:szCs w:val="24"/>
        </w:rPr>
        <w:t xml:space="preserve">. Dane Komisji Nadzoru Finansowego wskazują, że w pierwszej połowie 2019 r. towarzystwa ubezpieczeń zarobiły na sprzedaży polis OC dla kierowców około 0,51 mld zł. Porównywalny zysk techniczny ubezpieczycieli z okresu styczeń - czerwiec 2018 r. wynosił 0,21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Ostrożna polityka cenowa zakładów ubezpieczeń wskazuje, że nie są one pewne długookresowych zmian zyskowności polis OC dla kierowców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 </w:t>
      </w:r>
      <w:r>
        <w:rPr>
          <w:rFonts w:ascii="calibri" w:hAnsi="calibri" w:eastAsia="calibri" w:cs="calibri"/>
          <w:sz w:val="24"/>
          <w:szCs w:val="24"/>
        </w:rPr>
        <w:t xml:space="preserve">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2026-02-03T07:54:35+01:00</dcterms:created>
  <dcterms:modified xsi:type="dcterms:W3CDTF">2026-02-03T07:54:35+01:00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