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drogowych stłuczek coraz bardziej niepokoi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dokładne dane o liczbie wypadków drogowych oraz stłuczek w czwartym kwartale i całym 2021 r. Jeden aspekt na pewno jest dość niepokojący.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już przy okazji komentowania danych o bezpieczeństwie drogowym w III kw. 2021 r. zwracali uwagę na pogorszenie się tych wyników. Nowe dane GUS na temat liczby wypadków, stłuczek, zabitych i rannych potwierdzają, że pewne aspekty są niepokojące. Chodzi przede wszystkim o liczbę kolizji drogowych z IV kw. 2021 roku. Na całe szczęście, analiza wyników z całego minionego roku prowadzi też do bardziej pozytywnych wniosków. Warto je poznać.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Roczna liczba stłuczek w Polsce wzrosła o 11%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w przejrzysty sposób pokazuje, jak zmieniła się liczba wypadków, rannych i zabitych na drodze oraz stłuczek (kolizji) w ujęciu rocznym i kwartalnym. Warto przypomnieć, że kolizja jest zgodnie z klasyfikacją GUS-u zdarzeniem drogowym, które skutkowało wyłącznie szkodami materialnymi. Natomiast wypadek to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zdarzenie mające związek z ruchem pojazdów na drogach publicznych, w wyniku którego nastąpiła śmierć lub uszkodzenie ciała osób</w:t>
      </w:r>
      <w:r>
        <w:rPr>
          <w:rFonts w:ascii="calibri" w:hAnsi="calibri" w:eastAsia="calibri" w:cs="calibri"/>
          <w:sz w:val="24"/>
          <w:szCs w:val="24"/>
        </w:rPr>
        <w:t xml:space="preserve">”. Po szybkim sprawdzeniu danych Głównego Urzędu Statystycznego widzimy, że kwestia stłuczek zasługuje na szczególną uwagę.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relacji do 2020 roku, liczba takich kolizji wzrosła bowiem o 11% (do 422 627)</w:t>
      </w:r>
      <w:r>
        <w:rPr>
          <w:rFonts w:ascii="calibri" w:hAnsi="calibri" w:eastAsia="calibri" w:cs="calibri"/>
          <w:sz w:val="24"/>
          <w:szCs w:val="24"/>
        </w:rPr>
        <w:t xml:space="preserve">” - podaje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Wspomniana zmiana procentowa niepokoi nawet jeśli weźmiemy pod uwagę fakt, że mieliśmy do czynienia z tak zwanym efektem bazy (wynikającym z mniejszej liczby kolizji w 2020 r.). Jak widać, ograniczenia mobilności z 2021 r. miały już mniejszy wpływ na liczbę stłuczek. Ubiegłoroczny wynik był bardziej zbliżony do wartości odnotowanej chociażby w przedpandemicznym 2019 roku (ok. 455 500 kolizji drogowych).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Niepokoić może wysoka liczba stłuczek odnotowana w ostatnim kwartale minionego roku (aż 116 023). Oznaczała ona bowiem roczny wzrost o 16%</w:t>
      </w:r>
      <w:r>
        <w:rPr>
          <w:rFonts w:ascii="calibri" w:hAnsi="calibri" w:eastAsia="calibri" w:cs="calibri"/>
          <w:sz w:val="24"/>
          <w:szCs w:val="24"/>
        </w:rPr>
        <w:t xml:space="preserve">” - zwraca uwagę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Dane dotyczące wypadków wyglądają lepiej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dane GUS na temat bezpieczeństwa drogowego mają również swój bardziej pozytywny aspekt. Chodzi o to, że bezpieczeństwo na drogach w 2021 r. po wyłączeniu stłuczek nie prezentowało się szczególnie źle. Ubiegłoroczna liczba wypadków spadła o 3% (do 22 816). Ujemna zmiana względem 2020 r. dotyczyła również liczby zabitych na drodze (spadek o 10% do 2245). Większej zmianie nie uległa natomiast roczna liczba rannych (spadek z 26 463 do 26 415).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porównania, warto wspomnieć, że przez cały 2019 r. na polskich drogach miało miejsce 30 288 wypadków, 35 477 osób odniosło rany, a 2909 osób niestety poniosło śmierć</w:t>
      </w:r>
      <w:r>
        <w:rPr>
          <w:rFonts w:ascii="calibri" w:hAnsi="calibri" w:eastAsia="calibri" w:cs="calibri"/>
          <w:sz w:val="24"/>
          <w:szCs w:val="24"/>
        </w:rPr>
        <w:t xml:space="preserve">” - wylicza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Stłuczki wywierają duży wpływ na ceny polis OC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Stosunkowo wysoka liczba stłuczek w 2021 r. (mimo pandemii COVID-19) na pewno może niepokoić w kontekście inflacyjnej oraz kosztowej presji na ubezpieczycieli. Rodzi się pytanie, jak będzie wyglądało bezpieczeństwo drogowe po całkowitym i trwałym zniesieniu pandemicznych ograniczeń. Pozytywny wpływ na wypadkowość może wynikać ze zmiany taryfikatora mandatów i powiązania składek OC z liczbą punktów karnych.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jednocześnie pamiętać, że polskie drogi są coraz bardziej zatłoczone, a I kw. 2022 r. przyniósł duży napływ kierowców z Ukrainy</w:t>
      </w:r>
      <w:r>
        <w:rPr>
          <w:rFonts w:ascii="calibri" w:hAnsi="calibri" w:eastAsia="calibri" w:cs="calibri"/>
          <w:sz w:val="24"/>
          <w:szCs w:val="24"/>
        </w:rPr>
        <w:t xml:space="preserve">” - zaznacza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statystyki wypadkowości po pandemii wrócą do poziomu notowanego chociażby w 2019 roku, to ubezpieczyciele będą zmuszeni podnieść składki OC w sposób odczuwalny dla kierowców.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 takim ruchem cenowym będzie dodatkowo przemawiała inflacja i konieczność wypełnienia nowych rekomendacji KNF-u w sprawie likwidacji szkód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2025-08-17T04:53:49+02:00</dcterms:created>
  <dcterms:modified xsi:type="dcterms:W3CDTF">2025-08-17T04:53:49+02:00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