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drogowych stłuczek coraz bardziej niepokoi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dokładne dane o liczbie wypadków drogowych oraz stłuczek w czwartym kwartale i całym 2021 r. Jeden aspekt na pewno jest dość niepokojący.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porównywarki ubezpieczeniowej Ubea.pl już przy okazji komentowania danych o bezpieczeństwie drogowym w III kw. 2021 r. zwracali uwagę na pogorszenie się tych wyników. Nowe dane GUS na temat liczby wypadków, stłuczek, zabitych i rannych potwierdzają, że pewne aspekty są niepokojące. Chodzi przede wszystkim o liczbę kolizji drogowych z IV kw. 2021 roku. Na całe szczęście, analiza wyników z całego minionego roku prowadzi też do bardziej pozytywnych wniosków. Warto je poznać.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Roczna liczba stłuczek w Polsce wzrosła o 11%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tabela w przejrzysty sposób pokazuje, jak zmieniła się liczba wypadków, rannych i zabitych na drodze oraz stłuczek (kolizji) w ujęciu rocznym i kwartalnym. Warto przypomnieć, że kolizja jest zgodnie z klasyfikacją GUS-u zdarzeniem drogowym, które skutkowało wyłącznie szkodami materialnymi. Natomiast wypadek to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zdarzenie mające związek z ruchem pojazdów na drogach publicznych, w wyniku którego nastąpiła śmierć lub uszkodzenie ciała osób</w:t>
      </w:r>
      <w:r>
        <w:rPr>
          <w:rFonts w:ascii="calibri" w:hAnsi="calibri" w:eastAsia="calibri" w:cs="calibri"/>
          <w:sz w:val="24"/>
          <w:szCs w:val="24"/>
        </w:rPr>
        <w:t xml:space="preserve">”. Po szybkim sprawdzeniu danych Głównego Urzędu Statystycznego widzimy, że kwestia stłuczek zasługuje na szczególną uwagę.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relacji do 2020 roku, liczba takich kolizji wzrosła bowiem o 11% (do 422 627)</w:t>
      </w:r>
      <w:r>
        <w:rPr>
          <w:rFonts w:ascii="calibri" w:hAnsi="calibri" w:eastAsia="calibri" w:cs="calibri"/>
          <w:sz w:val="24"/>
          <w:szCs w:val="24"/>
        </w:rPr>
        <w:t xml:space="preserve">” - podaje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zmiana procentowa niepokoi nawet jeśli weźmiemy pod uwagę fakt, że mieliśmy do czynienia z tak zwanym efektem bazy (wynikającym z mniejszej liczby kolizji w 2020 r.). Jak widać, ograniczenia mobilności z 2021 r. miały już mniejszy wpływ na liczbę stłuczek. Ubiegłoroczny wynik był bardziej zbliżony do wartości odnotowanej chociażby w przedpandemicznym 2019 roku (ok. 455 500 kolizji drogowych).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Niepokoić może wysoka liczba stłuczek odnotowana w ostatnim kwartale minionego roku (aż 116 023). Oznaczała ona bowiem roczny wzrost o 16%</w:t>
      </w:r>
      <w:r>
        <w:rPr>
          <w:rFonts w:ascii="calibri" w:hAnsi="calibri" w:eastAsia="calibri" w:cs="calibri"/>
          <w:sz w:val="24"/>
          <w:szCs w:val="24"/>
        </w:rPr>
        <w:t xml:space="preserve">” - zwraca uwagę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Dane dotyczące wypadków wyglądają lepiej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GUS na temat bezpieczeństwa drogowego mają również swój bardziej pozytywny aspekt. Chodzi o to, że bezpieczeństwo na drogach w 2021 r. po wyłączeniu stłuczek nie prezentowało się szczególnie źle. Ubiegłoroczna liczba wypadków spadła o 3% (do 22 816). Ujemna zmiana względem 2020 r. dotyczyła również liczby zabitych na drodze (spadek o 10% do 2245). Większej zmianie nie uległa natomiast roczna liczba rannych (spadek z 26 463 do 26 415).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ramach porównania, warto wspomnieć, że przez cały 2019 r. na polskich drogach miało miejsce 30 288 wypadków, 35 477 osób odniosło rany, a 2909 osób niestety poniosło śmierć</w:t>
      </w:r>
      <w:r>
        <w:rPr>
          <w:rFonts w:ascii="calibri" w:hAnsi="calibri" w:eastAsia="calibri" w:cs="calibri"/>
          <w:sz w:val="24"/>
          <w:szCs w:val="24"/>
        </w:rPr>
        <w:t xml:space="preserve">” - wylicza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Stłuczki wywierają duży wpływ na ceny polis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Stosunkowo wysoka liczba stłuczek w 2021 r. (mimo pandemii COVID-19) na pewno może niepokoić w kontekście inflacyjnej oraz kosztowej presji na ubezpieczycieli. Rodzi się pytanie, jak będzie wyglądało bezpieczeństwo drogowe po całkowitym i trwałym zniesieniu pandemicznych ograniczeń. Pozytywny wpływ na wypadkowość może wynikać ze zmiany taryfikatora mandatów i powiązania składek OC z liczbą punktów karnych.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jednocześnie pamiętać, że polskie drogi są coraz bardziej zatłoczone, a I kw. 2022 r. przyniósł duży napływ kierowców z Ukrainy</w:t>
      </w:r>
      <w:r>
        <w:rPr>
          <w:rFonts w:ascii="calibri" w:hAnsi="calibri" w:eastAsia="calibri" w:cs="calibri"/>
          <w:sz w:val="24"/>
          <w:szCs w:val="24"/>
        </w:rPr>
        <w:t xml:space="preserve">” - zaznacza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statystyki wypadkowości po pandemii wrócą do poziomu notowanego chociażby w 2019 roku, to ubezpieczyciele będą zmuszeni podnieść składki OC w sposób odczuwalny dla kierowców.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takim ruchem cenowym będzie dodatkowo przemawiała inflacja i konieczność wypełnienia nowych rekomendacji KNF-u w sprawie likwidacji szkód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Źródło: porównywarka ubezpieczeń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Ubea.pl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2026-09-16T16:29:19+02:00</dcterms:created>
  <dcterms:modified xsi:type="dcterms:W3CDTF">2026-09-16T16:29:19+02:00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