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Przeciętny wypadek kosztuje ubezpieczyciela coraz więcej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Inflacja nie pozostaje bez wpływu na wartość odszkodowań wypłacanych przez ubezpieczycieli z OC. W 2020 r. takich wypłat było mniej, ale ich jednostkowa wartość wzrosła.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 już pewien czas temu zwracali uwagę na znaczenie rosnącej inflacji w kontekście kosztów ponoszonych przez ubezpieczycieli. Dane Komisji Nadzoru Finansowego sprawdzone przez analityków Ubea.pl potwierdzają, że w minionym roku znacząco wzrosła średnia wartość szkody likwidowanej przez zakłady ubezpieczeń przy pomocy obowiązkowego OC. To nie tylko zmiana czysto statystyczna. Warto pamiętać, że większe wydatki w przeliczeniu na jedną kolizję wcześniej czy później odbiją się na polityce cenowej ubezpieczycieli.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Rok 2020 w przypadku OC był bezpieczny, ale bardzo „drogi”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Komisji Nadzoru Finansowego, które eksperci Ubea.pl zaprezentowali w poniższej tabeli potwierdzają, że miniony rok był pomyślny dla ubezpieczycieli pod względem bezpieczeństwa drogowego. Okazuje się, że w ujęciu rocznym liczba szkód zlikwidowanych przy pomocy obowiązkowych polis OC spadła z 1 278 017 (2019 r.) do 1 160 290 (2020 r.). Z całą pewnością był to efekt lockdownów oraz innych restrykcji związanych z pandemią.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Ubezpieczycieli w 2020 r. mógł też cieszyć wzrost liczby ubezpieczonych pojazdów. Chodzi o zmianę z 25,908 mln do 26,698 mln</w:t>
      </w:r>
      <w:r>
        <w:rPr>
          <w:rFonts w:ascii="calibri" w:hAnsi="calibri" w:eastAsia="calibri" w:cs="calibri"/>
          <w:sz w:val="24"/>
          <w:szCs w:val="24"/>
        </w:rPr>
        <w:t xml:space="preserve">” - podaje Andrzej Prajsnar, analityk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informacji publikowanych przez Komisję Nadzoru Finansowego można również obliczyć, że w minionym roku średnia wartość szkody zlikwidowanej przez ubezpieczyciela wzrosła z 7 395 zł do 7 758 zł. Ten blisko pięcioprocentowy wzrost nastąpił po stosunkowo niewielkiej zmianie wartości średniej szkody z 2019 r. (+1,1%). Ubiegłoroczne wzrosty przeciętnej wartości szkody komunikacyjnej nie były tak duże, jak analogiczne zmiany z 2017 r. i 2018 r. Tym niemniej, sytuacja jest warta analizowania.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Istnieją obawy, że wysoki poziom inflacji w pierwszej połowie 2021 r. będzie stymulował dalszy wzrost średniej wartości szkody z OC. Chodzi zarówno o koszty prywatnego leczenia, jak i części samochodowe oraz robociznę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Wzrost średniej wartości szkody tworzy składkową presję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Znaczenie statystyk dotyczących średniej wartości szkody z OC zwiększa fakt, że takie dane na pewno będą miały wpływ na politykę cenową ubezpieczycieli. Warto pamiętać, że wzrost średniej wartości odszkodowania i zadośćuczynienia z OC w minionym roku był częściowo równoważony przez mniejszą liczbę zgłaszanych oraz likwidowanych szkód. Niestety, pod względem wypadkowości dane z I kw. 2021 r. wyglądają już mniej korzystnie. Tylko przez pierwsze trzy miesiące bieżącego roku rodzimi ubezpieczyciele zlikwidowali 312 617 szkód przy pomocy ubezpieczeń OC.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Brak pandemicznych obostrzeń w najbliższej przyszłości z pewnością wpłynie na bezpieczeństwo drogowe. Nawet w I kw. 2021 r. mimo pandemii odnotowano o prawie 2% więcej kolizji niż rok wcześniej</w:t>
      </w:r>
      <w:r>
        <w:rPr>
          <w:rFonts w:ascii="calibri" w:hAnsi="calibri" w:eastAsia="calibri" w:cs="calibri"/>
          <w:sz w:val="24"/>
          <w:szCs w:val="24"/>
        </w:rPr>
        <w:t xml:space="preserve">” - informuje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zainteresowane cenową odpowiedzią zakładów ubezpieczeń na wzrost średniej wartości szkody, z pewnością powinny obserwować wskazania barometru cenowego Ubea.pl. Wstępne dane porównywarki ubezpieczeniowej Ubea.pl wskazują, że czerwiec br. przyniósł niewielki wzrost średniej składki ubezpieczenia OC oferowanego online.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okresie marzec - maj 2021 r. była natomiast widoczna stabilizacja takiej przeciętnej ceny OC (po wcześniejszych obniżkach)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2025-08-15T05:23:00+02:00</dcterms:created>
  <dcterms:modified xsi:type="dcterms:W3CDTF">2025-08-15T05:23:00+02:00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