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Przeciętny wypadek kosztuje ubezpieczyciela coraz więcej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Inflacja nie pozostaje bez wpływu na wartość odszkodowań wypłacanych przez ubezpieczycieli z OC. W 2020 r. takich wypłat było mniej, ale ich jednostkowa wartość wzrosła.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 już pewien czas temu zwracali uwagę na znaczenie rosnącej inflacji w kontekście kosztów ponoszonych przez ubezpieczycieli. Dane Komisji Nadzoru Finansowego sprawdzone przez analityków Ubea.pl potwierdzają, że w minionym roku znacząco wzrosła średnia wartość szkody likwidowanej przez zakłady ubezpieczeń przy pomocy obowiązkowego OC. To nie tylko zmiana czysto statystyczna. Warto pamiętać, że większe wydatki w przeliczeniu na jedną kolizję wcześniej czy później odbiją się na polityce cenowej ubezpieczycieli.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Rok 2020 w przypadku OC był bezpieczny, ale bardzo „drogi”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Komisji Nadzoru Finansowego, które eksperci Ubea.pl zaprezentowali w poniższej tabeli potwierdzają, że miniony rok był pomyślny dla ubezpieczycieli pod względem bezpieczeństwa drogowego. Okazuje się, że w ujęciu rocznym liczba szkód zlikwidowanych przy pomocy obowiązkowych polis OC spadła z 1 278 017 (2019 r.) do 1 160 290 (2020 r.). Z całą pewnością był to efekt lockdownów oraz innych restrykcji związanych z pandemią.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Ubezpieczycieli w 2020 r. mógł też cieszyć wzrost liczby ubezpieczonych pojazdów. Chodzi o zmianę z 25,908 mln do 26,698 mln</w:t>
      </w:r>
      <w:r>
        <w:rPr>
          <w:rFonts w:ascii="calibri" w:hAnsi="calibri" w:eastAsia="calibri" w:cs="calibri"/>
          <w:sz w:val="24"/>
          <w:szCs w:val="24"/>
        </w:rPr>
        <w:t xml:space="preserve">” - podaje Andrzej Prajsnar, analityk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informacji publikowanych przez Komisję Nadzoru Finansowego można również obliczyć, że w minionym roku średnia wartość szkody zlikwidowanej przez ubezpieczyciela wzrosła z 7 395 zł do 7 758 zł. Ten blisko pięcioprocentowy wzrost nastąpił po stosunkowo niewielkiej zmianie wartości średniej szkody z 2019 r. (+1,1%). Ubiegłoroczne wzrosty przeciętnej wartości szkody komunikacyjnej nie były tak duże, jak analogiczne zmiany z 2017 r. i 2018 r. Tym niemniej, sytuacja jest warta analizowania.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Istnieją obawy, że wysoki poziom inflacji w pierwszej połowie 2021 r. będzie stymulował dalszy wzrost średniej wartości szkody z OC. Chodzi zarówno o koszty prywatnego leczenia, jak i części samochodowe oraz robociznę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Wzrost średniej wartości szkody tworzy składkową presję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Znaczenie statystyk dotyczących średniej wartości szkody z OC zwiększa fakt, że takie dane na pewno będą miały wpływ na politykę cenową ubezpieczycieli. Warto pamiętać, że wzrost średniej wartości odszkodowania i zadośćuczynienia z OC w minionym roku był częściowo równoważony przez mniejszą liczbę zgłaszanych oraz likwidowanych szkód. Niestety, pod względem wypadkowości dane z I kw. 2021 r. wyglądają już mniej korzystnie. Tylko przez pierwsze trzy miesiące bieżącego roku rodzimi ubezpieczyciele zlikwidowali 312 617 szkód przy pomocy ubezpieczeń OC.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Brak pandemicznych obostrzeń w najbliższej przyszłości z pewnością wpłynie na bezpieczeństwo drogowe. Nawet w I kw. 2021 r. mimo pandemii odnotowano o prawie 2% więcej kolizji niż rok wcześniej</w:t>
      </w:r>
      <w:r>
        <w:rPr>
          <w:rFonts w:ascii="calibri" w:hAnsi="calibri" w:eastAsia="calibri" w:cs="calibri"/>
          <w:sz w:val="24"/>
          <w:szCs w:val="24"/>
        </w:rPr>
        <w:t xml:space="preserve">” - informuje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zainteresowane cenową odpowiedzią zakładów ubezpieczeń na wzrost średniej wartości szkody, z pewnością powinny obserwować wskazania barometru cenowego Ubea.pl. Wstępne dane porównywarki ubezpieczeniowej Ubea.pl wskazują, że czerwiec br. przyniósł niewielki wzrost średniej składki ubezpieczenia OC oferowanego online.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okresie marzec - maj 2021 r. była natomiast widoczna stabilizacja takiej przeciętnej ceny OC (po wcześniejszych obniżkach)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2025-06-01T08:12:22+02:00</dcterms:created>
  <dcterms:modified xsi:type="dcterms:W3CDTF">2025-06-01T08:12:22+02:00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