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ubezpieczeń OC i AC kupują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Ubezpieczyciele chronią nie tylko prywatne samochody. Jak ważne dla towarzystw ubezpieczeniowych są polisy chroniące pojazdy firmowe?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polis komunikacyjnych wiodących ubezpieczycieli w Polsce są skierowane nie tylko do osób prywatnych. </w:t>
      </w:r>
      <w:r>
        <w:rPr>
          <w:rFonts w:ascii="calibri" w:hAnsi="calibri" w:eastAsia="calibri" w:cs="calibri"/>
          <w:sz w:val="24"/>
          <w:szCs w:val="24"/>
          <w:b/>
        </w:rPr>
        <w:t xml:space="preserve">Z szerokiej oferty obowiązkowych ubezpieczeń OC i dobrowolnego autocasco mogą skorzystać również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sprawdzili, jak dużą część składki OC i AC rodzimi ubezpieczyciele otrzymują od klientów firmowych, gospodarstw domowych oraz samorządów.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są ważnym klientem w przypadku ubezpieczenia AC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</w:t>
      </w:r>
      <w:r>
        <w:rPr>
          <w:rFonts w:ascii="calibri" w:hAnsi="calibri" w:eastAsia="calibri" w:cs="calibri"/>
          <w:sz w:val="24"/>
          <w:szCs w:val="24"/>
          <w:b/>
        </w:rPr>
        <w:t xml:space="preserve">Komisji Nadzoru Finansowego</w:t>
      </w:r>
      <w:r>
        <w:rPr>
          <w:rFonts w:ascii="calibri" w:hAnsi="calibri" w:eastAsia="calibri" w:cs="calibri"/>
          <w:sz w:val="24"/>
          <w:szCs w:val="24"/>
        </w:rPr>
        <w:t xml:space="preserve"> eksperci Ubea.pl obliczyli, jaka część składki przypisanej brutto ubezpieczeń komunikacyjnych z 2020 r. dotyczyła poszczególnych kategorii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celach porównawczych prezentujemy też analogiczne dane dotyczące całego działu II ubezpieczeń (polisy inne niż ubezpieczenia na życie) </w:t>
      </w:r>
      <w:r>
        <w:rPr>
          <w:rFonts w:ascii="calibri" w:hAnsi="calibri" w:eastAsia="calibri" w:cs="calibri"/>
          <w:sz w:val="24"/>
          <w:szCs w:val="24"/>
        </w:rPr>
        <w:t xml:space="preserve">- wyjaśnia Andrzej Prajsnar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analizy pokazują, że w zeszłym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firmy były ważnym klientem dla ubezpieczycieli w przypadku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polis autocasco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casco</w:t>
      </w:r>
      <w:r>
        <w:rPr>
          <w:rFonts w:ascii="calibri" w:hAnsi="calibri" w:eastAsia="calibri" w:cs="calibri"/>
          <w:sz w:val="24"/>
          <w:szCs w:val="24"/>
        </w:rPr>
        <w:t xml:space="preserve">. Po zsumowaniu wyników spółek, jednoosobowych przedsiębiorców oraz branży finansowej okazało się, że firmy zapłaciły aż 56% składki ubezpieczeń casco dla pojazdów lądowych (z wyjątkiem pojazdów szynowych).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taki wynik wpłynęła m.in. popularność polis AC chroniących leasingowane auta oraz względnie nowe pojazdy flotowe należące do firm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firmy kupią ubezpieczenia OC i AC przez Internet?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przedsiębiorcy często mogą kupić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pojedynczego samochodu firmowego</w:t>
      </w:r>
      <w:r>
        <w:rPr>
          <w:rFonts w:ascii="calibri" w:hAnsi="calibri" w:eastAsia="calibri" w:cs="calibri"/>
          <w:sz w:val="24"/>
          <w:szCs w:val="24"/>
        </w:rPr>
        <w:t xml:space="preserve"> poprzez kalkulator OC/AC.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celu trzeba wybrać inny niż prywatny sposób wykorzystywania pojazdu (np. w ramach pracy taksówkarza lub szkoły nauki jazdy)</w:t>
      </w:r>
      <w:r>
        <w:rPr>
          <w:rFonts w:ascii="calibri" w:hAnsi="calibri" w:eastAsia="calibri" w:cs="calibri"/>
          <w:sz w:val="24"/>
          <w:szCs w:val="24"/>
        </w:rPr>
        <w:t xml:space="preserve">” - wskazuje Andrzej Prajsnar, ekspert porównywarki ubezpieczeniowej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ubezpieczenie-ac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2025-12-08T02:55:11+01:00</dcterms:created>
  <dcterms:modified xsi:type="dcterms:W3CDTF">2025-12-08T02:55:11+01:00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