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podróżując z pijanym kierowcą tracimy szansę na odszkodowanie?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świadomie wsiada do auta prowadzonego przez nietrzeźwego kierowcę. Wyjaśniamy, czy w razie wypadku takie osoby dostaną pełne odszkodowanie z 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Nietrzeźwi kierowcy wciąż nie stanowią rzadkości na polskich drogach</w:t>
      </w:r>
      <w:r>
        <w:rPr>
          <w:rFonts w:ascii="calibri" w:hAnsi="calibri" w:eastAsia="calibri" w:cs="calibri"/>
          <w:sz w:val="24"/>
          <w:szCs w:val="24"/>
        </w:rPr>
        <w:t xml:space="preserve">. Taki wniosek można wysnuć po przeanalizowaniu statystyk za 2018 rok, które niedawno opublikowała polska Policja.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Policyjne dane wskazują, że po przeprowadzeniu około 16,5 miliona kontroli trzeźwości zostało ujawnionych </w:t>
      </w:r>
      <w:r>
        <w:rPr>
          <w:rFonts w:ascii="calibri" w:hAnsi="calibri" w:eastAsia="calibri" w:cs="calibri"/>
          <w:sz w:val="24"/>
          <w:szCs w:val="24"/>
          <w:b/>
        </w:rPr>
        <w:t xml:space="preserve">prawie 105 000</w:t>
      </w:r>
      <w:r>
        <w:rPr>
          <w:rFonts w:ascii="calibri" w:hAnsi="calibri" w:eastAsia="calibri" w:cs="calibri"/>
          <w:sz w:val="24"/>
          <w:szCs w:val="24"/>
        </w:rPr>
        <w:t xml:space="preserve"> przypadków prowadzenia samochodu pod wpływem alkoholu. Biorąc pod uwagę, że policjantom udaje się zidentyfikować tylko część takich osób, liczba nietrzeźwych kierowców jest w rzeczywistości znacznie większa.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kierowcami znajdującymi się pod wpływem alkoholu często podróżują ich </w:t>
      </w:r>
      <w:r>
        <w:rPr>
          <w:rFonts w:ascii="calibri" w:hAnsi="calibri" w:eastAsia="calibri" w:cs="calibri"/>
          <w:sz w:val="24"/>
          <w:szCs w:val="24"/>
          <w:b/>
        </w:rPr>
        <w:t xml:space="preserve">znajomi lub krewni</w:t>
      </w:r>
      <w:r>
        <w:rPr>
          <w:rFonts w:ascii="calibri" w:hAnsi="calibri" w:eastAsia="calibri" w:cs="calibri"/>
          <w:sz w:val="24"/>
          <w:szCs w:val="24"/>
        </w:rPr>
        <w:t xml:space="preserve">. Tacy dobrowolni pasażerowie powinni wiedzieć, że w razie wypadku czekają ich sankcje ze strony ubezpieczyciela.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Obniżkę świadczenia wypłaconego z OC nietrzeźwego sprawcy wypadku</w:t>
      </w:r>
      <w:r>
        <w:rPr>
          <w:rFonts w:ascii="calibri" w:hAnsi="calibri" w:eastAsia="calibri" w:cs="calibri"/>
          <w:sz w:val="24"/>
          <w:szCs w:val="24"/>
        </w:rPr>
        <w:t xml:space="preserve"> oczywiście można kwestionować. Trzeba jednak zdawać sobie sprawę, że sądy często przychylają się do stanowiska zakładu ubezpieczeń. Eksperci porównywarki ubezpieczeń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z jaką obniżką świadczenia z OC należy się liczyć w takiej sytuacji.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Ubezpieczyciel musi uwzględnić przyczynienie się do szkody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Sankcje finansowe dla pasażerów podróżujących z pijanym kierowcą to przykład zastosowania przepisów związanych z tak zwanym </w:t>
      </w:r>
      <w:r>
        <w:rPr>
          <w:rFonts w:ascii="calibri" w:hAnsi="calibri" w:eastAsia="calibri" w:cs="calibri"/>
          <w:sz w:val="24"/>
          <w:szCs w:val="24"/>
          <w:b/>
        </w:rPr>
        <w:t xml:space="preserve">przyczynieniem się do szkody</w:t>
      </w:r>
      <w:r>
        <w:rPr>
          <w:rFonts w:ascii="calibri" w:hAnsi="calibri" w:eastAsia="calibri" w:cs="calibri"/>
          <w:sz w:val="24"/>
          <w:szCs w:val="24"/>
        </w:rPr>
        <w:t xml:space="preserve">. Zakłady ubezpieczeń, wskazując częściową odpowiedzialność poszkodowanego za rozmiar i wartość szkód, powołują się na artykuł 362 kodeksu cywilnego.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art. 362 KC: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poszkodowany przyczynił się do powstania lub zwiększenia szkody, obowiązek jej naprawienia ulega odpowiedniemu zmniejszeniu stosownie do okoliczności, a zwłaszcza do stopnia winy obu stron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artykuł 362 kodeksu cywilnego znajduje zastosowanie również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wielu szkód niekoniecznie związanych z ruchem drogowym</w:t>
      </w:r>
      <w:r>
        <w:rPr>
          <w:rFonts w:ascii="calibri" w:hAnsi="calibri" w:eastAsia="calibri" w:cs="calibri"/>
          <w:sz w:val="24"/>
          <w:szCs w:val="24"/>
        </w:rPr>
        <w:t xml:space="preserve">. Przykład stanowi sytuacja, w której nietrzeźwa osoba weszła na słup i uległa porażeniu prądem.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natomiast chodzi o sprawy dotyczące obowiązkowych polis dla kierowców, to kwestia przyczynienia się do szkody jest często uwzględniana również wtedy, gdy pasażer w chwili wypadku nie posiadał zapiętych pasów bezpieczeństwa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Ciężar dowodu leży po stronie ubezpieczyciela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powyższych informacji warto przypomnieć, że to </w:t>
      </w:r>
      <w:r>
        <w:rPr>
          <w:rFonts w:ascii="calibri" w:hAnsi="calibri" w:eastAsia="calibri" w:cs="calibri"/>
          <w:sz w:val="24"/>
          <w:szCs w:val="24"/>
          <w:b/>
        </w:rPr>
        <w:t xml:space="preserve">zakład ubezpieczeń musi przedstawić dowody</w:t>
      </w:r>
      <w:r>
        <w:rPr>
          <w:rFonts w:ascii="calibri" w:hAnsi="calibri" w:eastAsia="calibri" w:cs="calibri"/>
          <w:sz w:val="24"/>
          <w:szCs w:val="24"/>
        </w:rPr>
        <w:t xml:space="preserve"> potwierdzające bezpośredni związek przyczynowo-skutkowy pomiędzy nagannym postępowaniem poszkodowanej osoby i powstaniem lub powiększeniem szkody ubezpieczeniowej.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 obowiązek ubezpieczyciela, skutkujący powstaniem ciężaru dowodowego po jego stronie, wynika z artykułu 6 kodeksu cywilnego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Wypłata z OC sprawcy może zostać pomniejszona o 30% - 50%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Sprawy związane z przyczynieniem się do szkody przez pasażera samochodu często trafiają na sądową wokandę. Wynika to z faktu, że poszkodowani albo ich krewni nie chcą się pogodzić z decyzją zakładu ubezpieczeń ograniczającą świadczenie za szkody osobowe na przykład aż o 30% - 50%. W takiej sytuacji </w:t>
      </w:r>
      <w:r>
        <w:rPr>
          <w:rFonts w:ascii="calibri" w:hAnsi="calibri" w:eastAsia="calibri" w:cs="calibri"/>
          <w:sz w:val="24"/>
          <w:szCs w:val="24"/>
          <w:b/>
        </w:rPr>
        <w:t xml:space="preserve">sąd musi sprawdzić</w:t>
      </w:r>
      <w:r>
        <w:rPr>
          <w:rFonts w:ascii="calibri" w:hAnsi="calibri" w:eastAsia="calibri" w:cs="calibri"/>
          <w:sz w:val="24"/>
          <w:szCs w:val="24"/>
        </w:rPr>
        <w:t xml:space="preserve">, czy działanie lub zaniechanie poszkodowanej osoby rzeczywiście było obiektywnie nieprawidłowe i przyczyniło się do powstania szkody albo powiększenia rozmiaru szkody.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Następnie sąd powinien ustalić, jaki procentowy poziom pomniejszenia wszystkich świadczeń wypłacanych przez ubezpieczyciela (zadośćuczynienia, odszkodowania, renty i zwrotu kosztów) jest adekwatny do odpowiedzialności poszkodowanej osoby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Wyrok związany z przyczynieniem się poszkodowanego do szkody (np. poprzez podróż z nietrzeźwym kierowcą) powinien </w:t>
      </w:r>
      <w:r>
        <w:rPr>
          <w:rFonts w:ascii="calibri" w:hAnsi="calibri" w:eastAsia="calibri" w:cs="calibri"/>
          <w:sz w:val="24"/>
          <w:szCs w:val="24"/>
          <w:b/>
        </w:rPr>
        <w:t xml:space="preserve">uwzględniać wcześniejsze orzecznictwo sądowe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Eksperci Ubea.pl w poniższej tabeli zaprezentowali przykłady takiego orzecznictwa. Wskazują one, że w przypadku podróży z pijanym kierowcą orzeczona obniżka świadczeń ubezpieczyciela może wynosić 30% - 50%. Zdarzają się nawet bardziej surowe wyroki sądów (zobacz np. Wyrok Sądu Apelacyjnego w Warszawie z 16 listopada 2017 r.). Warto pamiętać, że kluczowe znaczenie mają okoliczności konkretnej sprawy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Odszkodowanie dla małego dziecka nie zostanie pomniejszone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znaczeniu szczegółowych okoliczności każdej sprawy bardzo dobrze świadczy Wyrok Sądu Apelacyjnego w Krakowie z 6 lipca 2018 roku (sygn. akt I ACa 1575/17). W ramach wspomnianego orzeczenia krakowski sąd słusznie uznał, że świadczenie dla ofiary wypadku drogowego liczącej w dniu tej kolizji zaledwie dwa lata </w:t>
      </w:r>
      <w:r>
        <w:rPr>
          <w:rFonts w:ascii="calibri" w:hAnsi="calibri" w:eastAsia="calibri" w:cs="calibri"/>
          <w:sz w:val="24"/>
          <w:szCs w:val="24"/>
          <w:b/>
        </w:rPr>
        <w:t xml:space="preserve">nie powinno zostać pomniejszone ze względu na zaniedbania rodziców</w:t>
      </w:r>
      <w:r>
        <w:rPr>
          <w:rFonts w:ascii="calibri" w:hAnsi="calibri" w:eastAsia="calibri" w:cs="calibri"/>
          <w:sz w:val="24"/>
          <w:szCs w:val="24"/>
        </w:rPr>
        <w:t xml:space="preserve"> (prowadzenie auta przez pijanego ojca bez uprawnień i niezapewnienie dziecku fotelika).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w analizowanej sprawie zakład ubezpieczeń określił stopień przyczynienia się do szkody na 90%. Stanowi to dowód, że instytucja przyczynienia się do szkody bywa czasem nadużywana przez ubezpieczycieli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2026-02-05T17:18:36+01:00</dcterms:created>
  <dcterms:modified xsi:type="dcterms:W3CDTF">2026-02-05T17:18:36+01:00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