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Agenci sprzedają dwie trzecie 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Agenci stanowią bardzo ważne ogniwo w procesie sprzedaży ubezpieczeń. Jaki mieli udział w ubiegłorocznej sprzedaży polis?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Agenci dosłownie opanowali dystrybucję niektórych rodzajów ubezpieczeń. Przykład mogą stanowić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komunikacyjne ubezpieczenia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Trudno się dziwić, że usługi agentów są popularne, skoro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porównanie</w:t>
      </w:r>
      <w:r>
        <w:rPr>
          <w:rFonts w:ascii="calibri" w:hAnsi="calibri" w:eastAsia="calibri" w:cs="calibri"/>
          <w:sz w:val="24"/>
          <w:szCs w:val="24"/>
        </w:rPr>
        <w:t xml:space="preserve"> większej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obowiązkowych polis komunikacyjnych</w:t>
      </w:r>
      <w:r>
        <w:rPr>
          <w:rFonts w:ascii="calibri" w:hAnsi="calibri" w:eastAsia="calibri" w:cs="calibri"/>
          <w:sz w:val="24"/>
          <w:szCs w:val="24"/>
        </w:rPr>
        <w:t xml:space="preserve"> może oznaczać oszczędność na poziomie np. 1000 zł - 2000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Agenci mają bardzo mocną pozycję również na rynku innych polis niż tylko samochodowe OC. Do takiego wniosku prowadzą dane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sposobów dystrybucji ubezpieczeń</w:t>
      </w:r>
      <w:r>
        <w:rPr>
          <w:rFonts w:ascii="calibri" w:hAnsi="calibri" w:eastAsia="calibri" w:cs="calibri"/>
          <w:sz w:val="24"/>
          <w:szCs w:val="24"/>
        </w:rPr>
        <w:t xml:space="preserve"> w 2018 r. Eksperci porównywarki Ubea.pl wzięli pod lupę wspomniane informacje, które niedawno opublikowała Komisja Nadzoru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analiza statystyk KNF-u pozwala na wyciągnięcie także innych ciekawych wniosków dotyczących sprzedaży polis.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na życie wciąż nie są w Polsce zbyt popularne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KNF-u na temat dystrybucji ubezpieczeń</w:t>
      </w:r>
      <w:r>
        <w:rPr>
          <w:rFonts w:ascii="calibri" w:hAnsi="calibri" w:eastAsia="calibri" w:cs="calibri"/>
          <w:sz w:val="24"/>
          <w:szCs w:val="24"/>
        </w:rPr>
        <w:t xml:space="preserve"> pochodzą z rocznego biuletynu ubezpieczeniowego, jaki przygotowała ta instytucja. Eksperci porównywarki Ubea.pl w poniższej tabeli zgromadzili statystyki opublikowane przez nadzór finansowy.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zestawienie wskazuje między innymi, że łączna wartość sprzedanych </w:t>
      </w:r>
      <w:r>
        <w:rPr>
          <w:rFonts w:ascii="calibri" w:hAnsi="calibri" w:eastAsia="calibri" w:cs="calibri"/>
          <w:sz w:val="24"/>
          <w:szCs w:val="24"/>
          <w:b/>
        </w:rPr>
        <w:t xml:space="preserve">polis na życie</w:t>
      </w:r>
      <w:r>
        <w:rPr>
          <w:rFonts w:ascii="calibri" w:hAnsi="calibri" w:eastAsia="calibri" w:cs="calibri"/>
          <w:sz w:val="24"/>
          <w:szCs w:val="24"/>
        </w:rPr>
        <w:t xml:space="preserve"> (mierzona składką przypisaną brutto) była w 2018 r. prawie dwa razy mniejsza od wartości rynku pozostałych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Przypisana składka polis na życie (Dział I) wynosi 21,7 mld zł. Składka innych ubezpieczeń (Dział II) jest na poziomie 40,2 mld zł</w:t>
      </w:r>
      <w:r>
        <w:rPr>
          <w:rFonts w:ascii="calibri" w:hAnsi="calibri" w:eastAsia="calibri" w:cs="calibri"/>
          <w:sz w:val="24"/>
          <w:szCs w:val="24"/>
        </w:rPr>
        <w:t xml:space="preserve">” - wymienia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Agenci mają mocniejszą pozycję sprzedażową w Dziale II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Samodzielnie obliczenia ekspertów Ubea.pl wskazują, że w 2018 r. agenci sprzedali polisy o wartości odpowiadającej około </w:t>
      </w:r>
      <w:r>
        <w:rPr>
          <w:rFonts w:ascii="calibri" w:hAnsi="calibri" w:eastAsia="calibri" w:cs="calibri"/>
          <w:sz w:val="24"/>
          <w:szCs w:val="24"/>
          <w:b/>
        </w:rPr>
        <w:t xml:space="preserve">dwóm trzecim całego rynku ubezpieczeniowego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udział rynkowy agentów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polis na życie</w:t>
      </w:r>
      <w:r>
        <w:rPr>
          <w:rFonts w:ascii="calibri" w:hAnsi="calibri" w:eastAsia="calibri" w:cs="calibri"/>
          <w:sz w:val="24"/>
          <w:szCs w:val="24"/>
        </w:rPr>
        <w:t xml:space="preserve"> (60,7%) był gorszy od wyniku dotyczącego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pozostałych ubezpieczeń</w:t>
      </w:r>
      <w:r>
        <w:rPr>
          <w:rFonts w:ascii="calibri" w:hAnsi="calibri" w:eastAsia="calibri" w:cs="calibri"/>
          <w:sz w:val="24"/>
          <w:szCs w:val="24"/>
        </w:rPr>
        <w:t xml:space="preserve"> (67,9%).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dystrybucji ubezpieczeń życiowych o wiele większe znaczenie miała natomiast bezpośrednia (własna) sprzedaż ubezpieczycieli. Wygenerowała ona 35,4% przypisanej składki brutto z Działu I oraz jedynie 13,9% składki polis należących do Działu II (ubezpieczenia majątkowe i pozostałe ubezpieczenia osobowe)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ubezpieczenia sprzedają banki i brokerzy?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rocznego biuletynu KNF można wyciągnąć również inne ciekawe wnioski odnośnie kanałów dystrybucji ubezpieczeń w 2018 r. Na uwagę zasługuje wysoki udział w składce przypisanej brutto polis na życie (22,2%), który osiągnęli </w:t>
      </w:r>
      <w:r>
        <w:rPr>
          <w:rFonts w:ascii="calibri" w:hAnsi="calibri" w:eastAsia="calibri" w:cs="calibri"/>
          <w:sz w:val="24"/>
          <w:szCs w:val="24"/>
          <w:b/>
        </w:rPr>
        <w:t xml:space="preserve">bankowi pośrednicy (agenci)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wynik jest związany m.in. z faktem, że banki sprzedają wiele ubezpieczeń na życie jako obowiązkowy lub nieobowiązkowy dodatek do kredytów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ciekawy wniosek jest związany z działalnością </w:t>
      </w:r>
      <w:r>
        <w:rPr>
          <w:rFonts w:ascii="calibri" w:hAnsi="calibri" w:eastAsia="calibri" w:cs="calibri"/>
          <w:sz w:val="24"/>
          <w:szCs w:val="24"/>
          <w:b/>
        </w:rPr>
        <w:t xml:space="preserve">brokerów ubezpieczeniowych</w:t>
      </w:r>
      <w:r>
        <w:rPr>
          <w:rFonts w:ascii="calibri" w:hAnsi="calibri" w:eastAsia="calibri" w:cs="calibri"/>
          <w:sz w:val="24"/>
          <w:szCs w:val="24"/>
        </w:rPr>
        <w:t xml:space="preserve">. Osiągnęli oni ponad cztery razy lepszy wynik (niemal 17% przypisanej składki brutto) w przypadku dystrybucji polis majątkowych i pozostałych polis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pamiętać, że oferta brokerów dotyczy m.in. ubezpieczeń majątkowych dla firm, które cechują się dużą jednostkową wartością sumy gwarancyjnej oraz składki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Polacy kupują ubezpieczenia online i przez telefon?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także pominąć szczegółowych danych o sposobach bezpośredniej sprzedaży polis przez ubezpieczycieli. W przypadku ubezpieczeń na życie tak zwany </w:t>
      </w:r>
      <w:r>
        <w:rPr>
          <w:rFonts w:ascii="calibri" w:hAnsi="calibri" w:eastAsia="calibri" w:cs="calibri"/>
          <w:sz w:val="24"/>
          <w:szCs w:val="24"/>
          <w:b/>
        </w:rPr>
        <w:t xml:space="preserve">kanał direct (Internet + telefon)</w:t>
      </w:r>
      <w:r>
        <w:rPr>
          <w:rFonts w:ascii="calibri" w:hAnsi="calibri" w:eastAsia="calibri" w:cs="calibri"/>
          <w:sz w:val="24"/>
          <w:szCs w:val="24"/>
        </w:rPr>
        <w:t xml:space="preserve"> nie odgrywa żadnej roli. Trudno się temu dziwić, bo ubezpieczenia życiowe są mniej ustandaryzowane niż polisy majątkowe.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Dział II ubezpieczeń, to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bezpośrednia sprzedaż ubezpieczycieli przez Internet i telefon</w:t>
      </w:r>
      <w:r>
        <w:rPr>
          <w:rFonts w:ascii="calibri" w:hAnsi="calibri" w:eastAsia="calibri" w:cs="calibri"/>
          <w:sz w:val="24"/>
          <w:szCs w:val="24"/>
        </w:rPr>
        <w:t xml:space="preserve"> w 2018 r. wygenerowała odpowiednio 1,9% oraz 1,6% składki przypisanej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żałować, że nie dysponujemy informacjami KNF-u o tym, jaką część swojej sprzedaży przez Internet oraz telefon zrealizowali agenci ubezpieczeniowi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ubezpieczeń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2025-12-08T11:51:17+01:00</dcterms:created>
  <dcterms:modified xsi:type="dcterms:W3CDTF">2025-12-08T11:51:17+01:00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