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Skargi na ubezpieczycieli - na kogo skarżymy się najczęściej?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Rzecznik Finansowy podsumował niedawno ubiegłoroczne skargi na towarzystwa ubezpieczeń. Na których ubezpieczycieli Polacy skarżyli się najczęściej?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roku, zawsze na początku wiosny, Rzecznik Finansowy publikuje swoje sprawozdanie dotyczące działalności w minionym roku. Jego działania obejmują między innymi rozpatrywanie wniosków o interwencję, które składają klienci ubezpieczycieli i osoby poszkodowane.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postanowili więc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na których ubezpieczycieli Polacy skarżyli się najczęściej</w:t>
      </w:r>
      <w:r>
        <w:rPr>
          <w:rFonts w:ascii="calibri" w:hAnsi="calibri" w:eastAsia="calibri" w:cs="calibri"/>
          <w:sz w:val="24"/>
          <w:szCs w:val="24"/>
        </w:rPr>
        <w:t xml:space="preserve">. Co ważne, analiza uwzględnia udział poszczególnych firm ubezpieczeniowych w całym rynku polis komunikacyjnych oraz majątkowych.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Warta wypada dobrze w ubezpieczeniach komunikacyjnych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eksperci Ubea.pl przyjrzeli się ubezpieczeniom komunikacyjnym. W poniższej tabeli można sprawdzić liczbę wniosków o interwencję Rzecznika Finansowego związanych z tymi polisami.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Podobnie jak w poprzednich latach zdecydowanie najwięcej takich skarg (1346) dotyczyło ubezpieczeń dla kierowców sprzedawanych przez PZU S.A. Na kolejnych miejscach uplasowały się dwie firmy z rynkowego podium: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 Ergo Hestia S.A.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(623 skargi)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oraz TUiR WARTA S.A.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(390 skarg)</w:t>
      </w:r>
      <w:r>
        <w:rPr>
          <w:rFonts w:ascii="calibri" w:hAnsi="calibri" w:eastAsia="calibri" w:cs="calibri"/>
          <w:sz w:val="24"/>
          <w:szCs w:val="24"/>
        </w:rPr>
        <w:t xml:space="preserve">” - wylicza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wzięciu pod uwagę udziału rynkowego wiodących ubezpieczycieli okaże się jednak, że wypadli oni dobrze lub nawet bardzo dobrze. Pod względem liczby wniosków o interwencję Rzecznika Finansowego na 1% udziału rynkowego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Warta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wynikiem 22, zaprezentowała się niemal najlepiej wśród wszystkich ubezpieczycieli sprzedających polisy komunikacyjne. Lepszy wynik (16) osiągnął tylko TUW PZUW posiadający jednak minimalny udział rynkowy.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Którzy ubezpieczyciele wypadli dobrze w całym dziale II?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Ubea.pl sprawdzili także częstotliwość skarg dotyczących wszystkich ubezpieczeń z działu II (tzn. ubezpieczeń majątkowych i pozostałych ubezpieczeń osobowych). Są to nie tylko ubezpieczenia komunikacyjne, lecz także mieszkaniowe, turystyczne czy NNW.n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wniosków o interwencję Rzecznika Finansowego dotyczyło trzech wiodących ubezpieczycieli: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PZU S.A. (2369 skarg),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STU Ergo Hestia S.A. (961 skarg),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TUiR WARTA S.A. (696 skarg).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uwzględnieniu udziału rynkowego najwięksi ubezpieczyciele znów jednak wypadli dobrze lub bardzo dobrze. Szczególnie pozytywnie przedstawia się wynik Warty (49 skarg na 1% udziału rynkowego).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Warta, podobnie jak rok temu, wyprzedziła wszystkich średnich i dużych konkurentów </w:t>
      </w:r>
      <w:r>
        <w:rPr>
          <w:rFonts w:ascii="calibri" w:hAnsi="calibri" w:eastAsia="calibri" w:cs="calibri"/>
          <w:sz w:val="24"/>
          <w:szCs w:val="24"/>
        </w:rPr>
        <w:t xml:space="preserve">- zauważa Andrzej Prajsnar, ekspert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wyniki osiągnęli inni ubezpieczyciele? Liczba skarg na 1% udziału rynkowego przedstawia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STU Ergo Hestia S.A. - 64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Concordia Polska T.U. S.A. - 65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PZU S.A. - 77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TUiR Allianz Polska S.A. - 80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Aviva TU Ogólnych S.A. - 80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AXA Ubezpieczenia TUiR S.A. - 87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Generali TU S.A. - 91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Wiener TU S.A. VIG - 102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 Compensa S.A. VIG - 112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 Interrisk S.A. VIG - 113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TUW TUW - 132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Link4 TU S.A. - 156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UNIQA TU S.A. - 165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„Warto zwrócić uwagę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fakt, że wyniki ubezpieczycieli z najwyższą skargowością w dziale II znacząco spadły względem 2018 roku</w:t>
      </w:r>
      <w:r>
        <w:rPr>
          <w:rFonts w:ascii="calibri" w:hAnsi="calibri" w:eastAsia="calibri" w:cs="calibri"/>
          <w:sz w:val="24"/>
          <w:szCs w:val="24"/>
        </w:rPr>
        <w:t xml:space="preserve">” - zaznacza Andrzej Prajsnar, ekspert porównywarki ubezpieczeniowej Ubea.pl. Pozostaje mieć nadzieję, że w 2020 r. ten trend się utrzyma.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Warta-ubezpieczeni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2024-04-25T18:08:50+02:00</dcterms:created>
  <dcterms:modified xsi:type="dcterms:W3CDTF">2024-04-25T18:08:50+02:00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