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ubezpieczeń OC i AC kupują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Ubezpieczyciele chronią nie tylko prywatne samochody. Jak ważne dla towarzystw ubezpieczeniowych są polisy chroniące pojazdy firmowe?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Propozycje polis komunikacyjnych wiodących ubezpieczycieli w Polsce są skierowane nie tylko do osób prywatnych. </w:t>
      </w:r>
      <w:r>
        <w:rPr>
          <w:rFonts w:ascii="calibri" w:hAnsi="calibri" w:eastAsia="calibri" w:cs="calibri"/>
          <w:sz w:val="24"/>
          <w:szCs w:val="24"/>
          <w:b/>
        </w:rPr>
        <w:t xml:space="preserve">Z szerokiej oferty obowiązkowych ubezpieczeń OC i dobrowolnego autocasco mogą skorzystać również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sprawdzili, jak dużą część składki OC i AC rodzimi ubezpieczyciele otrzymują od klientów firmowych, gospodarstw domowych oraz samorządów.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są ważnym klientem w przypadku ubezpieczenia AC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</w:t>
      </w:r>
      <w:r>
        <w:rPr>
          <w:rFonts w:ascii="calibri" w:hAnsi="calibri" w:eastAsia="calibri" w:cs="calibri"/>
          <w:sz w:val="24"/>
          <w:szCs w:val="24"/>
          <w:b/>
        </w:rPr>
        <w:t xml:space="preserve">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 eksperci Ubea.pl obliczyli, jaka część składki przypisanej brutto ubezpieczeń komunikacyjnych z 2020 r. dotyczyła poszczególnych kategorii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celach porównawczych prezentujemy też analogiczne dane dotyczące całego działu II ubezpieczeń (polisy inne niż ubezpieczenia na życie)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analizy pokazują, że w zeszłym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firmy były ważnym klientem dla ubezpieczycieli w przypadku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polis autocasco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casco</w:t>
      </w:r>
      <w:r>
        <w:rPr>
          <w:rFonts w:ascii="calibri" w:hAnsi="calibri" w:eastAsia="calibri" w:cs="calibri"/>
          <w:sz w:val="24"/>
          <w:szCs w:val="24"/>
        </w:rPr>
        <w:t xml:space="preserve">. Po zsumowaniu wyników spółek, jednoosobowych przedsiębiorców oraz branży finansowej okazało się, że firmy zapłaciły aż 56% składki ubezpieczeń casco dla pojazdów lądowych (z wyjątkiem pojazdów szynowych).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taki wynik wpłynęła m.in. popularność polis AC chroniących leasingowane auta oraz względnie nowe pojazdy flotowe należące do firm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firmy kupią ubezpieczenia OC i AC przez Internet?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przedsiębiorcy często mogą kupić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pojedynczego samochodu firmowego</w:t>
      </w:r>
      <w:r>
        <w:rPr>
          <w:rFonts w:ascii="calibri" w:hAnsi="calibri" w:eastAsia="calibri" w:cs="calibri"/>
          <w:sz w:val="24"/>
          <w:szCs w:val="24"/>
        </w:rPr>
        <w:t xml:space="preserve"> poprzez kalkulator OC/AC.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celu trzeba wybrać inny niż prywatny sposób wykorzystywania pojazdu (np. w ramach pracy taksówkarza lub szkoły nauki jazdy)</w:t>
      </w:r>
      <w:r>
        <w:rPr>
          <w:rFonts w:ascii="calibri" w:hAnsi="calibri" w:eastAsia="calibri" w:cs="calibri"/>
          <w:sz w:val="24"/>
          <w:szCs w:val="24"/>
        </w:rPr>
        <w:t xml:space="preserve">” - wskazuje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ubezpieczenie-ac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2024-04-25T01:02:17+02:00</dcterms:created>
  <dcterms:modified xsi:type="dcterms:W3CDTF">2024-04-25T01:02:17+02:00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